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562E7"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1A1562EA" w14:textId="77777777" w:rsidTr="005F7F7E">
        <w:tc>
          <w:tcPr>
            <w:tcW w:w="2438" w:type="dxa"/>
            <w:shd w:val="clear" w:color="auto" w:fill="auto"/>
          </w:tcPr>
          <w:p w14:paraId="1A1562E8"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1A1562E9" w14:textId="77777777" w:rsidR="00F445B1" w:rsidRPr="00F95BC9" w:rsidRDefault="00DB7AD7" w:rsidP="004A6D2F">
            <w:pPr>
              <w:rPr>
                <w:rStyle w:val="Firstpagetablebold"/>
              </w:rPr>
            </w:pPr>
            <w:r>
              <w:rPr>
                <w:rStyle w:val="Firstpagetablebold"/>
              </w:rPr>
              <w:t>Cabinet</w:t>
            </w:r>
          </w:p>
        </w:tc>
      </w:tr>
      <w:tr w:rsidR="00CE544A" w:rsidRPr="00975B07" w14:paraId="1A1562ED" w14:textId="77777777" w:rsidTr="005F7F7E">
        <w:tc>
          <w:tcPr>
            <w:tcW w:w="2438" w:type="dxa"/>
            <w:shd w:val="clear" w:color="auto" w:fill="auto"/>
          </w:tcPr>
          <w:p w14:paraId="1A1562EB"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1A1562EC" w14:textId="24441672" w:rsidR="00F445B1" w:rsidRPr="001356F1" w:rsidRDefault="00456E75" w:rsidP="007B5CA2">
            <w:pPr>
              <w:rPr>
                <w:b/>
              </w:rPr>
            </w:pPr>
            <w:r>
              <w:rPr>
                <w:rStyle w:val="Firstpagetablebold"/>
              </w:rPr>
              <w:t>24 January 2024</w:t>
            </w:r>
          </w:p>
        </w:tc>
      </w:tr>
      <w:tr w:rsidR="00CE544A" w:rsidRPr="00975B07" w14:paraId="1A1562F0" w14:textId="77777777" w:rsidTr="005F7F7E">
        <w:tc>
          <w:tcPr>
            <w:tcW w:w="2438" w:type="dxa"/>
            <w:shd w:val="clear" w:color="auto" w:fill="auto"/>
          </w:tcPr>
          <w:p w14:paraId="1A1562EE"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1A1562EF" w14:textId="1EEA0198" w:rsidR="00F445B1" w:rsidRPr="001356F1" w:rsidRDefault="00456E75" w:rsidP="004A6D2F">
            <w:pPr>
              <w:rPr>
                <w:rStyle w:val="Firstpagetablebold"/>
              </w:rPr>
            </w:pPr>
            <w:r>
              <w:rPr>
                <w:rStyle w:val="Firstpagetablebold"/>
              </w:rPr>
              <w:t>Head of Community Services</w:t>
            </w:r>
          </w:p>
        </w:tc>
      </w:tr>
      <w:tr w:rsidR="00CE544A" w:rsidRPr="00975B07" w14:paraId="1A1562F3" w14:textId="77777777" w:rsidTr="005F7F7E">
        <w:tc>
          <w:tcPr>
            <w:tcW w:w="2438" w:type="dxa"/>
            <w:shd w:val="clear" w:color="auto" w:fill="auto"/>
          </w:tcPr>
          <w:p w14:paraId="1A1562F1"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1A1562F2" w14:textId="1F74B0D9" w:rsidR="00F445B1" w:rsidRPr="001356F1" w:rsidRDefault="00456E75" w:rsidP="004A6D2F">
            <w:pPr>
              <w:rPr>
                <w:rStyle w:val="Firstpagetablebold"/>
              </w:rPr>
            </w:pPr>
            <w:r>
              <w:rPr>
                <w:rStyle w:val="Firstpagetablebold"/>
              </w:rPr>
              <w:t>Leisure Services Contract Award</w:t>
            </w:r>
          </w:p>
        </w:tc>
      </w:tr>
    </w:tbl>
    <w:p w14:paraId="1A1562F4"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1A1562F6" w14:textId="77777777" w:rsidTr="0080749A">
        <w:tc>
          <w:tcPr>
            <w:tcW w:w="8845" w:type="dxa"/>
            <w:gridSpan w:val="2"/>
            <w:tcBorders>
              <w:bottom w:val="single" w:sz="8" w:space="0" w:color="000000"/>
            </w:tcBorders>
            <w:hideMark/>
          </w:tcPr>
          <w:p w14:paraId="1A1562F5"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1A1562F9" w14:textId="77777777" w:rsidTr="0080749A">
        <w:tc>
          <w:tcPr>
            <w:tcW w:w="2438" w:type="dxa"/>
            <w:tcBorders>
              <w:top w:val="single" w:sz="8" w:space="0" w:color="000000"/>
              <w:left w:val="single" w:sz="8" w:space="0" w:color="000000"/>
              <w:bottom w:val="nil"/>
              <w:right w:val="nil"/>
            </w:tcBorders>
            <w:hideMark/>
          </w:tcPr>
          <w:p w14:paraId="1A1562F7"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1A1562F8" w14:textId="48A6A3CE" w:rsidR="00D5547E" w:rsidRPr="001356F1" w:rsidRDefault="00430B0A" w:rsidP="00DB7AD7">
            <w:r w:rsidRPr="009071E7">
              <w:rPr>
                <w:rFonts w:cs="Arial"/>
              </w:rPr>
              <w:t>To recommend that Cabinet award a contract to Serco Leisure Ltd to manage and develop Oxford’s three leisure centres, Hinksey Outdoor Pool, and the Oxford Ice Rink</w:t>
            </w:r>
            <w:r>
              <w:rPr>
                <w:rFonts w:cs="Arial"/>
              </w:rPr>
              <w:t>.</w:t>
            </w:r>
          </w:p>
        </w:tc>
      </w:tr>
      <w:tr w:rsidR="00D5547E" w14:paraId="1A1562FC" w14:textId="77777777" w:rsidTr="0080749A">
        <w:tc>
          <w:tcPr>
            <w:tcW w:w="2438" w:type="dxa"/>
            <w:tcBorders>
              <w:top w:val="nil"/>
              <w:left w:val="single" w:sz="8" w:space="0" w:color="000000"/>
              <w:bottom w:val="nil"/>
              <w:right w:val="nil"/>
            </w:tcBorders>
            <w:hideMark/>
          </w:tcPr>
          <w:p w14:paraId="1A1562FA"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1A1562FB" w14:textId="303AA627" w:rsidR="00D5547E" w:rsidRPr="001356F1" w:rsidRDefault="00D5547E" w:rsidP="005F7F7E">
            <w:r w:rsidRPr="001356F1">
              <w:t>Yes</w:t>
            </w:r>
          </w:p>
        </w:tc>
      </w:tr>
      <w:tr w:rsidR="00D5547E" w14:paraId="1A1562FF" w14:textId="77777777" w:rsidTr="0080749A">
        <w:tc>
          <w:tcPr>
            <w:tcW w:w="2438" w:type="dxa"/>
            <w:tcBorders>
              <w:top w:val="nil"/>
              <w:left w:val="single" w:sz="8" w:space="0" w:color="000000"/>
              <w:bottom w:val="nil"/>
              <w:right w:val="nil"/>
            </w:tcBorders>
            <w:hideMark/>
          </w:tcPr>
          <w:p w14:paraId="1A1562FD"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1A1562FE" w14:textId="28C7EB94" w:rsidR="00D5547E" w:rsidRPr="001356F1" w:rsidRDefault="00D5547E" w:rsidP="005F7F7E">
            <w:r w:rsidRPr="001356F1">
              <w:t xml:space="preserve">Councillor </w:t>
            </w:r>
            <w:r w:rsidR="00430B0A">
              <w:t>Chewe Munkonge</w:t>
            </w:r>
            <w:r w:rsidRPr="001356F1">
              <w:t xml:space="preserve">, </w:t>
            </w:r>
            <w:r w:rsidR="00430B0A">
              <w:t>Cabinet Member for Leisure and Parks</w:t>
            </w:r>
          </w:p>
        </w:tc>
      </w:tr>
      <w:tr w:rsidR="0080749A" w14:paraId="1A156302" w14:textId="77777777" w:rsidTr="0097170F">
        <w:tc>
          <w:tcPr>
            <w:tcW w:w="2438" w:type="dxa"/>
            <w:tcBorders>
              <w:top w:val="nil"/>
              <w:left w:val="single" w:sz="8" w:space="0" w:color="000000"/>
              <w:bottom w:val="nil"/>
              <w:right w:val="nil"/>
            </w:tcBorders>
          </w:tcPr>
          <w:p w14:paraId="1A156300"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1A156301" w14:textId="218644F3" w:rsidR="0080749A" w:rsidRPr="001356F1" w:rsidRDefault="00430B0A" w:rsidP="005F7F7E">
            <w:r>
              <w:t>Support Thriving Communities</w:t>
            </w:r>
          </w:p>
        </w:tc>
      </w:tr>
      <w:tr w:rsidR="00D5547E" w14:paraId="1A156305" w14:textId="77777777" w:rsidTr="0097170F">
        <w:tc>
          <w:tcPr>
            <w:tcW w:w="2438" w:type="dxa"/>
            <w:tcBorders>
              <w:top w:val="nil"/>
              <w:left w:val="single" w:sz="8" w:space="0" w:color="000000"/>
              <w:bottom w:val="single" w:sz="4" w:space="0" w:color="auto"/>
              <w:right w:val="nil"/>
            </w:tcBorders>
            <w:hideMark/>
          </w:tcPr>
          <w:p w14:paraId="1A156303" w14:textId="77777777" w:rsidR="00D5547E" w:rsidRDefault="00D5547E">
            <w:pPr>
              <w:rPr>
                <w:rStyle w:val="Firstpagetablebold"/>
              </w:rPr>
            </w:pPr>
            <w:r>
              <w:rPr>
                <w:rStyle w:val="Firstpagetablebold"/>
              </w:rPr>
              <w:t>Policy Framework:</w:t>
            </w:r>
          </w:p>
        </w:tc>
        <w:tc>
          <w:tcPr>
            <w:tcW w:w="6407" w:type="dxa"/>
            <w:tcBorders>
              <w:top w:val="nil"/>
              <w:left w:val="nil"/>
              <w:bottom w:val="single" w:sz="4" w:space="0" w:color="auto"/>
              <w:right w:val="single" w:sz="8" w:space="0" w:color="000000"/>
            </w:tcBorders>
            <w:hideMark/>
          </w:tcPr>
          <w:p w14:paraId="1A156304" w14:textId="3F1D8446" w:rsidR="00D5547E" w:rsidRPr="001356F1" w:rsidRDefault="00430B0A" w:rsidP="005F7F7E">
            <w:r>
              <w:t>Thriving Communities Strategy</w:t>
            </w:r>
          </w:p>
        </w:tc>
      </w:tr>
    </w:tbl>
    <w:p w14:paraId="1A156306" w14:textId="77777777" w:rsidR="00CE544A" w:rsidRDefault="00CE544A"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8419"/>
      </w:tblGrid>
      <w:tr w:rsidR="0097170F" w:rsidRPr="00975B07" w14:paraId="1A156308" w14:textId="77777777" w:rsidTr="00FB6E8F">
        <w:trPr>
          <w:trHeight w:val="413"/>
        </w:trPr>
        <w:tc>
          <w:tcPr>
            <w:tcW w:w="8845" w:type="dxa"/>
            <w:gridSpan w:val="2"/>
            <w:tcBorders>
              <w:bottom w:val="single" w:sz="8" w:space="0" w:color="000000"/>
            </w:tcBorders>
          </w:tcPr>
          <w:p w14:paraId="1A156307" w14:textId="4F10B6A6" w:rsidR="0097170F" w:rsidRPr="00975B07" w:rsidRDefault="0097170F" w:rsidP="00FB6E8F">
            <w:r>
              <w:rPr>
                <w:rStyle w:val="Firstpagetablebold"/>
              </w:rPr>
              <w:t>Recommendation(s):</w:t>
            </w:r>
            <w:r w:rsidR="00414566">
              <w:rPr>
                <w:rStyle w:val="Firstpagetablebold"/>
              </w:rPr>
              <w:t xml:space="preserve"> </w:t>
            </w:r>
            <w:r w:rsidRPr="00414566">
              <w:rPr>
                <w:rStyle w:val="Firstpagetablebold"/>
                <w:bCs/>
              </w:rPr>
              <w:t>That Cabinet resolves to:</w:t>
            </w:r>
          </w:p>
        </w:tc>
      </w:tr>
      <w:tr w:rsidR="0097170F" w:rsidRPr="00975B07" w14:paraId="1A15630B" w14:textId="77777777" w:rsidTr="00FB6E8F">
        <w:trPr>
          <w:trHeight w:val="283"/>
        </w:trPr>
        <w:tc>
          <w:tcPr>
            <w:tcW w:w="426" w:type="dxa"/>
            <w:tcBorders>
              <w:top w:val="single" w:sz="8" w:space="0" w:color="000000"/>
              <w:left w:val="single" w:sz="8" w:space="0" w:color="000000"/>
              <w:bottom w:val="nil"/>
              <w:right w:val="nil"/>
            </w:tcBorders>
          </w:tcPr>
          <w:p w14:paraId="1A156309" w14:textId="77777777" w:rsidR="0097170F" w:rsidRPr="00975B07" w:rsidRDefault="0097170F" w:rsidP="00FB6E8F">
            <w:r w:rsidRPr="00975B07">
              <w:t>1.</w:t>
            </w:r>
          </w:p>
        </w:tc>
        <w:tc>
          <w:tcPr>
            <w:tcW w:w="8419" w:type="dxa"/>
            <w:tcBorders>
              <w:top w:val="single" w:sz="8" w:space="0" w:color="000000"/>
              <w:left w:val="nil"/>
              <w:bottom w:val="nil"/>
              <w:right w:val="single" w:sz="8" w:space="0" w:color="000000"/>
            </w:tcBorders>
            <w:shd w:val="clear" w:color="auto" w:fill="auto"/>
          </w:tcPr>
          <w:p w14:paraId="1A15630A" w14:textId="0C31C2CF" w:rsidR="0097170F" w:rsidRPr="000661A0" w:rsidRDefault="000661A0" w:rsidP="000661A0">
            <w:pPr>
              <w:spacing w:line="276" w:lineRule="auto"/>
              <w:rPr>
                <w:rFonts w:cs="Arial"/>
                <w:color w:val="000000" w:themeColor="text1"/>
              </w:rPr>
            </w:pPr>
            <w:r w:rsidRPr="000661A0">
              <w:rPr>
                <w:rFonts w:cs="Arial"/>
                <w:b/>
                <w:bCs/>
                <w:color w:val="000000" w:themeColor="text1"/>
              </w:rPr>
              <w:t>Award</w:t>
            </w:r>
            <w:r w:rsidRPr="31619BB5">
              <w:rPr>
                <w:rFonts w:cs="Arial"/>
                <w:color w:val="000000" w:themeColor="text1"/>
              </w:rPr>
              <w:t xml:space="preserve"> a ten-year contract (with a five-year extension option) for managing and developing the Council’s three leisure centres, Hinksey Outdoor Pool and the Oxford Ice Rink to Serco Leisure Ltd, subject to officers completing necessary due diligence and pre-contract negotiations. </w:t>
            </w:r>
          </w:p>
        </w:tc>
      </w:tr>
      <w:tr w:rsidR="0097170F" w:rsidRPr="00975B07" w14:paraId="1A15630E" w14:textId="77777777" w:rsidTr="00BB5BE6">
        <w:trPr>
          <w:trHeight w:val="283"/>
        </w:trPr>
        <w:tc>
          <w:tcPr>
            <w:tcW w:w="426" w:type="dxa"/>
            <w:tcBorders>
              <w:top w:val="nil"/>
              <w:left w:val="single" w:sz="8" w:space="0" w:color="000000"/>
              <w:bottom w:val="nil"/>
              <w:right w:val="nil"/>
            </w:tcBorders>
          </w:tcPr>
          <w:p w14:paraId="1A15630C" w14:textId="77777777" w:rsidR="0097170F" w:rsidRPr="00975B07" w:rsidRDefault="0097170F" w:rsidP="00FB6E8F">
            <w:r w:rsidRPr="00975B07">
              <w:t>2.</w:t>
            </w:r>
          </w:p>
        </w:tc>
        <w:tc>
          <w:tcPr>
            <w:tcW w:w="8419" w:type="dxa"/>
            <w:tcBorders>
              <w:top w:val="nil"/>
              <w:left w:val="nil"/>
              <w:bottom w:val="nil"/>
              <w:right w:val="single" w:sz="8" w:space="0" w:color="000000"/>
            </w:tcBorders>
            <w:shd w:val="clear" w:color="auto" w:fill="auto"/>
          </w:tcPr>
          <w:p w14:paraId="01C724D9" w14:textId="4E2DD5DA" w:rsidR="00D503E6" w:rsidRDefault="00D503E6" w:rsidP="00D503E6">
            <w:pPr>
              <w:spacing w:line="276" w:lineRule="auto"/>
              <w:rPr>
                <w:rFonts w:cs="Arial"/>
                <w:color w:val="000000" w:themeColor="text1"/>
              </w:rPr>
            </w:pPr>
            <w:r w:rsidRPr="00D503E6">
              <w:rPr>
                <w:rFonts w:cs="Arial"/>
                <w:b/>
                <w:bCs/>
                <w:color w:val="000000" w:themeColor="text1"/>
              </w:rPr>
              <w:t>Delegate authority</w:t>
            </w:r>
            <w:r w:rsidRPr="31619BB5">
              <w:rPr>
                <w:rFonts w:cs="Arial"/>
                <w:color w:val="000000" w:themeColor="text1"/>
              </w:rPr>
              <w:t xml:space="preserve"> to the Interim Executive Director </w:t>
            </w:r>
            <w:r>
              <w:rPr>
                <w:rFonts w:cs="Arial"/>
                <w:color w:val="000000" w:themeColor="text1"/>
              </w:rPr>
              <w:t>(C</w:t>
            </w:r>
            <w:r w:rsidRPr="31619BB5">
              <w:rPr>
                <w:rFonts w:cs="Arial"/>
                <w:color w:val="000000" w:themeColor="text1"/>
              </w:rPr>
              <w:t>ommunities and People</w:t>
            </w:r>
            <w:r>
              <w:rPr>
                <w:rFonts w:cs="Arial"/>
                <w:color w:val="000000" w:themeColor="text1"/>
              </w:rPr>
              <w:t>)</w:t>
            </w:r>
            <w:r w:rsidRPr="31619BB5">
              <w:rPr>
                <w:rFonts w:cs="Arial"/>
                <w:color w:val="000000" w:themeColor="text1"/>
              </w:rPr>
              <w:t xml:space="preserve">, in consultation with the </w:t>
            </w:r>
            <w:r w:rsidRPr="355AD99B">
              <w:rPr>
                <w:rFonts w:cs="Arial"/>
                <w:color w:val="000000" w:themeColor="text1"/>
              </w:rPr>
              <w:t xml:space="preserve">Head of Financial Services (Section 151 Officer), Monitoring Officer and the </w:t>
            </w:r>
            <w:r w:rsidRPr="31619BB5">
              <w:rPr>
                <w:rFonts w:cs="Arial"/>
                <w:color w:val="000000" w:themeColor="text1"/>
              </w:rPr>
              <w:t>Cabinet Member for Leisure and Parks, to:</w:t>
            </w:r>
          </w:p>
          <w:p w14:paraId="0ED9B6E9" w14:textId="2887CFAF" w:rsidR="0010528F" w:rsidRPr="00B1281F" w:rsidRDefault="00B1281F" w:rsidP="00430B64">
            <w:pPr>
              <w:pStyle w:val="ListParagraph"/>
              <w:numPr>
                <w:ilvl w:val="0"/>
                <w:numId w:val="6"/>
              </w:numPr>
              <w:spacing w:line="276" w:lineRule="auto"/>
              <w:rPr>
                <w:rFonts w:cs="Arial"/>
                <w:color w:val="000000" w:themeColor="text1"/>
              </w:rPr>
            </w:pPr>
            <w:r>
              <w:rPr>
                <w:rFonts w:cs="Arial"/>
                <w:color w:val="000000" w:themeColor="text1"/>
              </w:rPr>
              <w:t>C</w:t>
            </w:r>
            <w:r w:rsidR="0010528F" w:rsidRPr="00B1281F">
              <w:rPr>
                <w:rFonts w:cs="Arial"/>
                <w:color w:val="000000" w:themeColor="text1"/>
              </w:rPr>
              <w:t>omplete due diligence, contract negotiation</w:t>
            </w:r>
            <w:r w:rsidR="0010528F" w:rsidRPr="00B1281F" w:rsidDel="00EC784B">
              <w:rPr>
                <w:rFonts w:cs="Arial"/>
                <w:color w:val="000000" w:themeColor="text1"/>
              </w:rPr>
              <w:t xml:space="preserve"> </w:t>
            </w:r>
            <w:r w:rsidR="0010528F" w:rsidRPr="00B1281F">
              <w:rPr>
                <w:rFonts w:cs="Arial"/>
                <w:color w:val="000000" w:themeColor="text1"/>
              </w:rPr>
              <w:t>and final contract terms prior to the award of the contract;</w:t>
            </w:r>
          </w:p>
          <w:p w14:paraId="514AD4D9" w14:textId="4CF956F1" w:rsidR="0010528F" w:rsidRPr="00B1281F" w:rsidRDefault="00890F30" w:rsidP="00430B64">
            <w:pPr>
              <w:pStyle w:val="ListParagraph"/>
              <w:numPr>
                <w:ilvl w:val="0"/>
                <w:numId w:val="6"/>
              </w:numPr>
              <w:spacing w:line="276" w:lineRule="auto"/>
              <w:rPr>
                <w:rFonts w:cs="Arial"/>
                <w:color w:val="000000" w:themeColor="text1"/>
              </w:rPr>
            </w:pPr>
            <w:r>
              <w:rPr>
                <w:rFonts w:cs="Arial"/>
                <w:color w:val="000000" w:themeColor="text1"/>
              </w:rPr>
              <w:t>A</w:t>
            </w:r>
            <w:r w:rsidR="0010528F" w:rsidRPr="00B1281F">
              <w:rPr>
                <w:rFonts w:cs="Arial"/>
                <w:color w:val="000000" w:themeColor="text1"/>
              </w:rPr>
              <w:t xml:space="preserve">gree, subject to the limits set by procurement law and the Council’s </w:t>
            </w:r>
            <w:r>
              <w:rPr>
                <w:rFonts w:cs="Arial"/>
                <w:color w:val="000000" w:themeColor="text1"/>
              </w:rPr>
              <w:t>C</w:t>
            </w:r>
            <w:r w:rsidR="0010528F" w:rsidRPr="00B1281F">
              <w:rPr>
                <w:rFonts w:cs="Arial"/>
                <w:color w:val="000000" w:themeColor="text1"/>
              </w:rPr>
              <w:t>onstitution and for a maximum period of 2 months from the contract start date, interim arrangements for the delivery of the contract services by Serco Leisure Ltd where necessary to allow them to complete contract mobilisation after 29 March 2024;</w:t>
            </w:r>
          </w:p>
          <w:p w14:paraId="3ED45842" w14:textId="55A0AD20" w:rsidR="0010528F" w:rsidRPr="00B1281F" w:rsidRDefault="00A710EE" w:rsidP="00430B64">
            <w:pPr>
              <w:pStyle w:val="ListParagraph"/>
              <w:numPr>
                <w:ilvl w:val="0"/>
                <w:numId w:val="6"/>
              </w:numPr>
              <w:spacing w:line="276" w:lineRule="auto"/>
              <w:rPr>
                <w:rFonts w:cs="Arial"/>
                <w:color w:val="000000" w:themeColor="text1"/>
              </w:rPr>
            </w:pPr>
            <w:r>
              <w:rPr>
                <w:rFonts w:cs="Arial"/>
                <w:color w:val="000000" w:themeColor="text1"/>
              </w:rPr>
              <w:t>V</w:t>
            </w:r>
            <w:r w:rsidR="0010528F" w:rsidRPr="00B1281F">
              <w:rPr>
                <w:rFonts w:cs="Arial"/>
                <w:color w:val="000000" w:themeColor="text1"/>
              </w:rPr>
              <w:t xml:space="preserve">ary the current contractual arrangements with Fusion to enable them to continue to provide essential members data systems and </w:t>
            </w:r>
            <w:r w:rsidR="0010528F" w:rsidRPr="00B1281F">
              <w:rPr>
                <w:rFonts w:cs="Arial"/>
                <w:color w:val="000000" w:themeColor="text1"/>
              </w:rPr>
              <w:lastRenderedPageBreak/>
              <w:t xml:space="preserve">related back-office support functions for a period of up to 2 months to ensure the continuation of these specific functions and ensure a smooth transition, to the end May 2024, only should the need arise; and </w:t>
            </w:r>
          </w:p>
          <w:p w14:paraId="1A15630D" w14:textId="2B5A20BC" w:rsidR="0097170F" w:rsidRPr="001356F1" w:rsidRDefault="00D15CBA" w:rsidP="00430B64">
            <w:pPr>
              <w:pStyle w:val="ListParagraph"/>
              <w:numPr>
                <w:ilvl w:val="0"/>
                <w:numId w:val="6"/>
              </w:numPr>
            </w:pPr>
            <w:r>
              <w:rPr>
                <w:rFonts w:cs="Arial"/>
                <w:color w:val="000000" w:themeColor="text1"/>
              </w:rPr>
              <w:t>E</w:t>
            </w:r>
            <w:r w:rsidR="0010528F" w:rsidRPr="00B1281F">
              <w:rPr>
                <w:rFonts w:cs="Arial"/>
                <w:color w:val="000000" w:themeColor="text1"/>
              </w:rPr>
              <w:t xml:space="preserve">stablish necessary service and corporate staff arrangements for the effective commissioning, delivery and management of the leisure services contract.  </w:t>
            </w:r>
          </w:p>
        </w:tc>
      </w:tr>
      <w:tr w:rsidR="0097170F" w:rsidRPr="00975B07" w14:paraId="1A156311" w14:textId="77777777" w:rsidTr="00BB5BE6">
        <w:trPr>
          <w:trHeight w:val="283"/>
        </w:trPr>
        <w:tc>
          <w:tcPr>
            <w:tcW w:w="426" w:type="dxa"/>
            <w:tcBorders>
              <w:top w:val="nil"/>
              <w:left w:val="single" w:sz="8" w:space="0" w:color="000000"/>
              <w:bottom w:val="single" w:sz="4" w:space="0" w:color="auto"/>
              <w:right w:val="nil"/>
            </w:tcBorders>
          </w:tcPr>
          <w:p w14:paraId="1A15630F" w14:textId="77777777" w:rsidR="0097170F" w:rsidRPr="00975B07" w:rsidRDefault="0097170F" w:rsidP="00FB6E8F">
            <w:r w:rsidRPr="00975B07">
              <w:lastRenderedPageBreak/>
              <w:t>3.</w:t>
            </w:r>
          </w:p>
        </w:tc>
        <w:tc>
          <w:tcPr>
            <w:tcW w:w="8419" w:type="dxa"/>
            <w:tcBorders>
              <w:top w:val="nil"/>
              <w:left w:val="nil"/>
              <w:bottom w:val="single" w:sz="4" w:space="0" w:color="auto"/>
              <w:right w:val="single" w:sz="8" w:space="0" w:color="000000"/>
            </w:tcBorders>
            <w:shd w:val="clear" w:color="auto" w:fill="auto"/>
          </w:tcPr>
          <w:p w14:paraId="1A156310" w14:textId="35876566" w:rsidR="0097170F" w:rsidRPr="001356F1" w:rsidRDefault="003A233A" w:rsidP="00FB6E8F">
            <w:r w:rsidRPr="003A233A">
              <w:rPr>
                <w:rFonts w:cs="Arial"/>
                <w:b/>
                <w:bCs/>
                <w:color w:val="000000" w:themeColor="text1"/>
              </w:rPr>
              <w:t>Receive</w:t>
            </w:r>
            <w:r w:rsidRPr="31619BB5">
              <w:rPr>
                <w:rFonts w:cs="Arial"/>
                <w:color w:val="000000" w:themeColor="text1"/>
              </w:rPr>
              <w:t xml:space="preserve"> annual reports on the performance of the leisure services and the contractor, and to agree the business plan priorities for the following year.</w:t>
            </w:r>
          </w:p>
        </w:tc>
      </w:tr>
    </w:tbl>
    <w:p w14:paraId="1A156318" w14:textId="77777777" w:rsidR="0097170F" w:rsidRPr="009E51FC" w:rsidRDefault="0097170F"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1A15631A"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1A156319" w14:textId="77777777" w:rsidR="00966D42" w:rsidRPr="00975B07" w:rsidRDefault="00966D42" w:rsidP="00263EA3">
            <w:pPr>
              <w:jc w:val="center"/>
            </w:pPr>
            <w:r w:rsidRPr="00745BF0">
              <w:rPr>
                <w:rStyle w:val="Firstpagetablebold"/>
              </w:rPr>
              <w:t>Appendices</w:t>
            </w:r>
          </w:p>
        </w:tc>
      </w:tr>
      <w:tr w:rsidR="00ED5860" w:rsidRPr="00975B07" w14:paraId="1A15631D" w14:textId="77777777" w:rsidTr="00A46E98">
        <w:tc>
          <w:tcPr>
            <w:tcW w:w="2438" w:type="dxa"/>
            <w:tcBorders>
              <w:top w:val="single" w:sz="8" w:space="0" w:color="000000"/>
              <w:left w:val="single" w:sz="8" w:space="0" w:color="000000"/>
              <w:bottom w:val="nil"/>
              <w:right w:val="nil"/>
            </w:tcBorders>
            <w:shd w:val="clear" w:color="auto" w:fill="auto"/>
          </w:tcPr>
          <w:p w14:paraId="1A15631B"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1A15631C" w14:textId="190030E8" w:rsidR="00ED5860" w:rsidRPr="001356F1" w:rsidRDefault="00804741" w:rsidP="004A6D2F">
            <w:r>
              <w:t>Tender Scoring Criteria</w:t>
            </w:r>
          </w:p>
        </w:tc>
      </w:tr>
      <w:tr w:rsidR="00ED5860" w:rsidRPr="00975B07" w14:paraId="1A156320" w14:textId="77777777" w:rsidTr="00A46E98">
        <w:tc>
          <w:tcPr>
            <w:tcW w:w="2438" w:type="dxa"/>
            <w:tcBorders>
              <w:top w:val="nil"/>
              <w:left w:val="single" w:sz="8" w:space="0" w:color="000000"/>
              <w:bottom w:val="nil"/>
              <w:right w:val="nil"/>
            </w:tcBorders>
            <w:shd w:val="clear" w:color="auto" w:fill="auto"/>
          </w:tcPr>
          <w:p w14:paraId="1A15631E" w14:textId="77777777" w:rsidR="00ED5860" w:rsidRPr="00975B07" w:rsidRDefault="0030208D" w:rsidP="004A6D2F">
            <w:r w:rsidRPr="00975B07">
              <w:t>Appendix 2</w:t>
            </w:r>
          </w:p>
        </w:tc>
        <w:tc>
          <w:tcPr>
            <w:tcW w:w="6406" w:type="dxa"/>
            <w:tcBorders>
              <w:top w:val="nil"/>
              <w:left w:val="nil"/>
              <w:bottom w:val="nil"/>
              <w:right w:val="single" w:sz="8" w:space="0" w:color="000000"/>
            </w:tcBorders>
          </w:tcPr>
          <w:p w14:paraId="1A15631F" w14:textId="1DD55180" w:rsidR="00ED5860" w:rsidRPr="001356F1" w:rsidRDefault="00804741" w:rsidP="004A6D2F">
            <w:r>
              <w:t>Summary Report of In-House Proposals</w:t>
            </w:r>
          </w:p>
        </w:tc>
      </w:tr>
      <w:tr w:rsidR="0030208D" w:rsidRPr="00975B07" w14:paraId="1A156323" w14:textId="77777777" w:rsidTr="00A46E98">
        <w:tc>
          <w:tcPr>
            <w:tcW w:w="2438" w:type="dxa"/>
            <w:tcBorders>
              <w:top w:val="nil"/>
              <w:left w:val="single" w:sz="8" w:space="0" w:color="000000"/>
              <w:bottom w:val="nil"/>
              <w:right w:val="nil"/>
            </w:tcBorders>
            <w:shd w:val="clear" w:color="auto" w:fill="auto"/>
          </w:tcPr>
          <w:p w14:paraId="1A156321" w14:textId="77777777" w:rsidR="0030208D" w:rsidRPr="00975B07" w:rsidRDefault="0030208D" w:rsidP="004A6D2F">
            <w:r w:rsidRPr="00975B07">
              <w:t>Appendix 3</w:t>
            </w:r>
          </w:p>
        </w:tc>
        <w:tc>
          <w:tcPr>
            <w:tcW w:w="6406" w:type="dxa"/>
            <w:tcBorders>
              <w:top w:val="nil"/>
              <w:left w:val="nil"/>
              <w:bottom w:val="nil"/>
              <w:right w:val="single" w:sz="8" w:space="0" w:color="000000"/>
            </w:tcBorders>
          </w:tcPr>
          <w:p w14:paraId="1A156322" w14:textId="318049A4" w:rsidR="0030208D" w:rsidRPr="001356F1" w:rsidRDefault="00C933C7" w:rsidP="004A6D2F">
            <w:r>
              <w:t>Summary of Preferred Bidder</w:t>
            </w:r>
          </w:p>
        </w:tc>
      </w:tr>
      <w:tr w:rsidR="0030208D" w:rsidRPr="00975B07" w14:paraId="1A156326" w14:textId="77777777" w:rsidTr="00804741">
        <w:tc>
          <w:tcPr>
            <w:tcW w:w="2438" w:type="dxa"/>
            <w:tcBorders>
              <w:top w:val="nil"/>
              <w:left w:val="single" w:sz="8" w:space="0" w:color="000000"/>
              <w:bottom w:val="nil"/>
              <w:right w:val="nil"/>
            </w:tcBorders>
            <w:shd w:val="clear" w:color="auto" w:fill="auto"/>
          </w:tcPr>
          <w:p w14:paraId="1A156324" w14:textId="77777777" w:rsidR="0030208D" w:rsidRPr="00975B07" w:rsidRDefault="0030208D" w:rsidP="004A6D2F">
            <w:r w:rsidRPr="00975B07">
              <w:t>Appendix 4</w:t>
            </w:r>
          </w:p>
        </w:tc>
        <w:tc>
          <w:tcPr>
            <w:tcW w:w="6406" w:type="dxa"/>
            <w:tcBorders>
              <w:top w:val="nil"/>
              <w:left w:val="nil"/>
              <w:bottom w:val="nil"/>
              <w:right w:val="single" w:sz="8" w:space="0" w:color="000000"/>
            </w:tcBorders>
          </w:tcPr>
          <w:p w14:paraId="1A156325" w14:textId="75BF1C13" w:rsidR="0030208D" w:rsidRPr="001356F1" w:rsidRDefault="00C933C7" w:rsidP="004A6D2F">
            <w:r>
              <w:t>Financial Assessment</w:t>
            </w:r>
          </w:p>
        </w:tc>
      </w:tr>
      <w:tr w:rsidR="00804741" w:rsidRPr="00975B07" w14:paraId="3E40F7D5" w14:textId="77777777" w:rsidTr="00804741">
        <w:tc>
          <w:tcPr>
            <w:tcW w:w="2438" w:type="dxa"/>
            <w:tcBorders>
              <w:top w:val="nil"/>
              <w:left w:val="single" w:sz="8" w:space="0" w:color="000000"/>
              <w:bottom w:val="nil"/>
              <w:right w:val="nil"/>
            </w:tcBorders>
            <w:shd w:val="clear" w:color="auto" w:fill="auto"/>
          </w:tcPr>
          <w:p w14:paraId="6355E5FB" w14:textId="06C1CF5A" w:rsidR="00804741" w:rsidRPr="00975B07" w:rsidRDefault="00804741" w:rsidP="004A6D2F">
            <w:r>
              <w:t>Appendix 5</w:t>
            </w:r>
          </w:p>
        </w:tc>
        <w:tc>
          <w:tcPr>
            <w:tcW w:w="6406" w:type="dxa"/>
            <w:tcBorders>
              <w:top w:val="nil"/>
              <w:left w:val="nil"/>
              <w:bottom w:val="nil"/>
              <w:right w:val="single" w:sz="8" w:space="0" w:color="000000"/>
            </w:tcBorders>
          </w:tcPr>
          <w:p w14:paraId="7164ACAA" w14:textId="4C885D93" w:rsidR="00804741" w:rsidRPr="001356F1" w:rsidRDefault="00F25A3F" w:rsidP="004A6D2F">
            <w:r>
              <w:t>List of Fees and Charges for Serco Limited</w:t>
            </w:r>
          </w:p>
        </w:tc>
      </w:tr>
      <w:tr w:rsidR="00804741" w:rsidRPr="00975B07" w14:paraId="6950DA68" w14:textId="77777777" w:rsidTr="00804741">
        <w:tc>
          <w:tcPr>
            <w:tcW w:w="2438" w:type="dxa"/>
            <w:tcBorders>
              <w:top w:val="nil"/>
              <w:left w:val="single" w:sz="8" w:space="0" w:color="000000"/>
              <w:bottom w:val="nil"/>
              <w:right w:val="nil"/>
            </w:tcBorders>
            <w:shd w:val="clear" w:color="auto" w:fill="auto"/>
          </w:tcPr>
          <w:p w14:paraId="61D00E79" w14:textId="69DFB218" w:rsidR="00804741" w:rsidRPr="00975B07" w:rsidRDefault="00804741" w:rsidP="004A6D2F">
            <w:r>
              <w:t>Appendix 6</w:t>
            </w:r>
          </w:p>
        </w:tc>
        <w:tc>
          <w:tcPr>
            <w:tcW w:w="6406" w:type="dxa"/>
            <w:tcBorders>
              <w:top w:val="nil"/>
              <w:left w:val="nil"/>
              <w:bottom w:val="nil"/>
              <w:right w:val="single" w:sz="8" w:space="0" w:color="000000"/>
            </w:tcBorders>
          </w:tcPr>
          <w:p w14:paraId="05C81EC3" w14:textId="4D9A1954" w:rsidR="00804741" w:rsidRPr="001356F1" w:rsidRDefault="00F25A3F" w:rsidP="004A6D2F">
            <w:r>
              <w:t>Oxford’s Programmes to Increase Physical Activity</w:t>
            </w:r>
          </w:p>
        </w:tc>
      </w:tr>
      <w:tr w:rsidR="00804741" w:rsidRPr="00975B07" w14:paraId="46D45FE3" w14:textId="77777777" w:rsidTr="00804741">
        <w:tc>
          <w:tcPr>
            <w:tcW w:w="2438" w:type="dxa"/>
            <w:tcBorders>
              <w:top w:val="nil"/>
              <w:left w:val="single" w:sz="8" w:space="0" w:color="000000"/>
              <w:bottom w:val="nil"/>
              <w:right w:val="nil"/>
            </w:tcBorders>
            <w:shd w:val="clear" w:color="auto" w:fill="auto"/>
          </w:tcPr>
          <w:p w14:paraId="12057516" w14:textId="6C3DFC53" w:rsidR="00804741" w:rsidRPr="00975B07" w:rsidRDefault="00804741" w:rsidP="004A6D2F">
            <w:r>
              <w:t>Appendix 7</w:t>
            </w:r>
          </w:p>
        </w:tc>
        <w:tc>
          <w:tcPr>
            <w:tcW w:w="6406" w:type="dxa"/>
            <w:tcBorders>
              <w:top w:val="nil"/>
              <w:left w:val="nil"/>
              <w:bottom w:val="nil"/>
              <w:right w:val="single" w:sz="8" w:space="0" w:color="000000"/>
            </w:tcBorders>
          </w:tcPr>
          <w:p w14:paraId="766975AD" w14:textId="5AA846C5" w:rsidR="00804741" w:rsidRPr="001356F1" w:rsidRDefault="00F25A3F" w:rsidP="004A6D2F">
            <w:r>
              <w:t>Due Diligence</w:t>
            </w:r>
          </w:p>
        </w:tc>
      </w:tr>
      <w:tr w:rsidR="00804741" w:rsidRPr="00975B07" w14:paraId="246FAC76" w14:textId="77777777" w:rsidTr="00804741">
        <w:tc>
          <w:tcPr>
            <w:tcW w:w="2438" w:type="dxa"/>
            <w:tcBorders>
              <w:top w:val="nil"/>
              <w:left w:val="single" w:sz="8" w:space="0" w:color="000000"/>
              <w:bottom w:val="nil"/>
              <w:right w:val="nil"/>
            </w:tcBorders>
            <w:shd w:val="clear" w:color="auto" w:fill="auto"/>
          </w:tcPr>
          <w:p w14:paraId="6C3A274F" w14:textId="3F600486" w:rsidR="00804741" w:rsidRPr="00975B07" w:rsidRDefault="00804741" w:rsidP="004A6D2F">
            <w:r>
              <w:t>Appendix 8</w:t>
            </w:r>
          </w:p>
        </w:tc>
        <w:tc>
          <w:tcPr>
            <w:tcW w:w="6406" w:type="dxa"/>
            <w:tcBorders>
              <w:top w:val="nil"/>
              <w:left w:val="nil"/>
              <w:bottom w:val="nil"/>
              <w:right w:val="single" w:sz="8" w:space="0" w:color="000000"/>
            </w:tcBorders>
          </w:tcPr>
          <w:p w14:paraId="0E0301FB" w14:textId="4CA3ABE0" w:rsidR="00804741" w:rsidRPr="001356F1" w:rsidRDefault="00F25A3F" w:rsidP="004A6D2F">
            <w:r>
              <w:t>Equalities Impact Assessment</w:t>
            </w:r>
          </w:p>
        </w:tc>
      </w:tr>
      <w:tr w:rsidR="00804741" w:rsidRPr="00975B07" w14:paraId="760811D9" w14:textId="77777777" w:rsidTr="00A46E98">
        <w:tc>
          <w:tcPr>
            <w:tcW w:w="2438" w:type="dxa"/>
            <w:tcBorders>
              <w:top w:val="nil"/>
              <w:left w:val="single" w:sz="8" w:space="0" w:color="000000"/>
              <w:bottom w:val="single" w:sz="8" w:space="0" w:color="000000"/>
              <w:right w:val="nil"/>
            </w:tcBorders>
            <w:shd w:val="clear" w:color="auto" w:fill="auto"/>
          </w:tcPr>
          <w:p w14:paraId="258DA4BC" w14:textId="76D78582" w:rsidR="00804741" w:rsidRPr="00975B07" w:rsidRDefault="00804741" w:rsidP="004A6D2F">
            <w:r>
              <w:t>Appendix 9</w:t>
            </w:r>
          </w:p>
        </w:tc>
        <w:tc>
          <w:tcPr>
            <w:tcW w:w="6406" w:type="dxa"/>
            <w:tcBorders>
              <w:top w:val="nil"/>
              <w:left w:val="nil"/>
              <w:bottom w:val="single" w:sz="8" w:space="0" w:color="000000"/>
              <w:right w:val="single" w:sz="8" w:space="0" w:color="000000"/>
            </w:tcBorders>
          </w:tcPr>
          <w:p w14:paraId="45F57EA3" w14:textId="0C916158" w:rsidR="00804741" w:rsidRPr="001356F1" w:rsidRDefault="00F25A3F" w:rsidP="004A6D2F">
            <w:r>
              <w:t>Risk Assessment</w:t>
            </w:r>
          </w:p>
        </w:tc>
      </w:tr>
    </w:tbl>
    <w:p w14:paraId="1A156327" w14:textId="4D9AFC24" w:rsidR="0040736F" w:rsidRPr="001356F1" w:rsidRDefault="00F25A3F" w:rsidP="004A6D2F">
      <w:pPr>
        <w:pStyle w:val="Heading1"/>
      </w:pPr>
      <w:r>
        <w:t>Summary</w:t>
      </w:r>
    </w:p>
    <w:p w14:paraId="1A156329" w14:textId="73AD0CB3" w:rsidR="008954DF" w:rsidRPr="00B7660D" w:rsidRDefault="00D72F3A" w:rsidP="00430B64">
      <w:pPr>
        <w:pStyle w:val="ListParagraph"/>
        <w:numPr>
          <w:ilvl w:val="0"/>
          <w:numId w:val="7"/>
        </w:numPr>
        <w:tabs>
          <w:tab w:val="clear" w:pos="426"/>
        </w:tabs>
        <w:spacing w:before="240"/>
        <w:ind w:left="426" w:hanging="426"/>
        <w:jc w:val="both"/>
        <w:rPr>
          <w:rFonts w:cs="Arial"/>
          <w:bdr w:val="none" w:sz="0" w:space="0" w:color="auto" w:frame="1"/>
        </w:rPr>
      </w:pPr>
      <w:r>
        <w:rPr>
          <w:rFonts w:cs="Arial"/>
          <w:bdr w:val="none" w:sz="0" w:space="0" w:color="auto" w:frame="1"/>
        </w:rPr>
        <w:t>T</w:t>
      </w:r>
      <w:r w:rsidRPr="008B29C8">
        <w:rPr>
          <w:rFonts w:cs="Arial"/>
          <w:bdr w:val="none" w:sz="0" w:space="0" w:color="auto" w:frame="1"/>
        </w:rPr>
        <w:t xml:space="preserve">he </w:t>
      </w:r>
      <w:r>
        <w:rPr>
          <w:rFonts w:cs="Arial"/>
          <w:bdr w:val="none" w:sz="0" w:space="0" w:color="auto" w:frame="1"/>
        </w:rPr>
        <w:t xml:space="preserve">current </w:t>
      </w:r>
      <w:r w:rsidRPr="008B29C8">
        <w:rPr>
          <w:rFonts w:cs="Arial"/>
          <w:bdr w:val="none" w:sz="0" w:space="0" w:color="auto" w:frame="1"/>
        </w:rPr>
        <w:t xml:space="preserve">contract </w:t>
      </w:r>
      <w:r>
        <w:rPr>
          <w:rFonts w:cs="Arial"/>
          <w:bdr w:val="none" w:sz="0" w:space="0" w:color="auto" w:frame="1"/>
        </w:rPr>
        <w:t xml:space="preserve">for leisure service </w:t>
      </w:r>
      <w:r w:rsidRPr="008B29C8">
        <w:rPr>
          <w:rFonts w:cs="Arial"/>
          <w:bdr w:val="none" w:sz="0" w:space="0" w:color="auto" w:frame="1"/>
        </w:rPr>
        <w:t xml:space="preserve">with Fusion </w:t>
      </w:r>
      <w:r>
        <w:rPr>
          <w:rFonts w:cs="Arial"/>
          <w:bdr w:val="none" w:sz="0" w:space="0" w:color="auto" w:frame="1"/>
          <w:lang w:val="en-US"/>
        </w:rPr>
        <w:t>Lifestyle</w:t>
      </w:r>
      <w:r w:rsidRPr="008B29C8">
        <w:rPr>
          <w:rFonts w:cs="Arial"/>
          <w:bdr w:val="none" w:sz="0" w:space="0" w:color="auto" w:frame="1"/>
        </w:rPr>
        <w:t xml:space="preserve"> expir</w:t>
      </w:r>
      <w:r>
        <w:rPr>
          <w:rFonts w:cs="Arial"/>
          <w:bdr w:val="none" w:sz="0" w:space="0" w:color="auto" w:frame="1"/>
        </w:rPr>
        <w:t>es on 29 March 2024, and we</w:t>
      </w:r>
      <w:r w:rsidRPr="008B29C8">
        <w:rPr>
          <w:rFonts w:cs="Arial"/>
          <w:bdr w:val="none" w:sz="0" w:space="0" w:color="auto" w:frame="1"/>
        </w:rPr>
        <w:t xml:space="preserve"> </w:t>
      </w:r>
      <w:r>
        <w:rPr>
          <w:rFonts w:cs="Arial"/>
          <w:bdr w:val="none" w:sz="0" w:space="0" w:color="auto" w:frame="1"/>
        </w:rPr>
        <w:t>have</w:t>
      </w:r>
      <w:r w:rsidRPr="008B29C8">
        <w:rPr>
          <w:rFonts w:cs="Arial"/>
          <w:bdr w:val="none" w:sz="0" w:space="0" w:color="auto" w:frame="1"/>
        </w:rPr>
        <w:t xml:space="preserve"> consider</w:t>
      </w:r>
      <w:r>
        <w:rPr>
          <w:rFonts w:cs="Arial"/>
          <w:bdr w:val="none" w:sz="0" w:space="0" w:color="auto" w:frame="1"/>
        </w:rPr>
        <w:t>ed</w:t>
      </w:r>
      <w:r w:rsidRPr="008B29C8">
        <w:rPr>
          <w:rFonts w:cs="Arial"/>
          <w:bdr w:val="none" w:sz="0" w:space="0" w:color="auto" w:frame="1"/>
        </w:rPr>
        <w:t xml:space="preserve"> options for </w:t>
      </w:r>
      <w:r>
        <w:rPr>
          <w:rFonts w:cs="Arial"/>
          <w:bdr w:val="none" w:sz="0" w:space="0" w:color="auto" w:frame="1"/>
        </w:rPr>
        <w:t xml:space="preserve">future delivery.  </w:t>
      </w:r>
    </w:p>
    <w:p w14:paraId="4F1FF0D5" w14:textId="77777777" w:rsidR="00B7660D" w:rsidRDefault="00B7660D" w:rsidP="00430B64">
      <w:pPr>
        <w:pStyle w:val="ListParagraph"/>
        <w:numPr>
          <w:ilvl w:val="0"/>
          <w:numId w:val="7"/>
        </w:numPr>
        <w:tabs>
          <w:tab w:val="clear" w:pos="426"/>
        </w:tabs>
        <w:ind w:left="426" w:hanging="426"/>
        <w:jc w:val="both"/>
        <w:rPr>
          <w:rFonts w:cs="Arial"/>
          <w:bdr w:val="none" w:sz="0" w:space="0" w:color="auto" w:frame="1"/>
        </w:rPr>
      </w:pPr>
      <w:r>
        <w:rPr>
          <w:rFonts w:cs="Arial"/>
          <w:bdr w:val="none" w:sz="0" w:space="0" w:color="auto" w:frame="1"/>
        </w:rPr>
        <w:t>We considered the feasibility of in-house delivery arrangements and</w:t>
      </w:r>
      <w:r w:rsidRPr="004E4B9B">
        <w:rPr>
          <w:rFonts w:cs="Arial"/>
          <w:bdr w:val="none" w:sz="0" w:space="0" w:color="auto" w:frame="1"/>
          <w:lang w:val="en-US"/>
        </w:rPr>
        <w:t xml:space="preserve"> </w:t>
      </w:r>
      <w:r>
        <w:rPr>
          <w:rFonts w:cs="Arial"/>
          <w:bdr w:val="none" w:sz="0" w:space="0" w:color="auto" w:frame="1"/>
          <w:lang w:val="en-US"/>
        </w:rPr>
        <w:t>c</w:t>
      </w:r>
      <w:r w:rsidRPr="008B29C8">
        <w:rPr>
          <w:rFonts w:cs="Arial"/>
          <w:bdr w:val="none" w:sz="0" w:space="0" w:color="auto" w:frame="1"/>
          <w:lang w:val="en-US"/>
        </w:rPr>
        <w:t>onclu</w:t>
      </w:r>
      <w:r>
        <w:rPr>
          <w:rFonts w:cs="Arial"/>
          <w:bdr w:val="none" w:sz="0" w:space="0" w:color="auto" w:frame="1"/>
          <w:lang w:val="en-US"/>
        </w:rPr>
        <w:t>ded that they could not meet the Council’s requirements.</w:t>
      </w:r>
    </w:p>
    <w:p w14:paraId="448AC392" w14:textId="77777777" w:rsidR="00904EF1" w:rsidRPr="001B2B5F" w:rsidRDefault="00904EF1" w:rsidP="00430B64">
      <w:pPr>
        <w:pStyle w:val="ListParagraph"/>
        <w:numPr>
          <w:ilvl w:val="0"/>
          <w:numId w:val="7"/>
        </w:numPr>
        <w:tabs>
          <w:tab w:val="clear" w:pos="426"/>
        </w:tabs>
        <w:ind w:left="426" w:hanging="426"/>
        <w:jc w:val="both"/>
        <w:rPr>
          <w:rFonts w:cs="Arial"/>
          <w:color w:val="000000" w:themeColor="text1"/>
          <w:bdr w:val="none" w:sz="0" w:space="0" w:color="auto" w:frame="1"/>
        </w:rPr>
      </w:pPr>
      <w:r>
        <w:rPr>
          <w:rFonts w:cs="Arial"/>
          <w:bdr w:val="none" w:sz="0" w:space="0" w:color="auto" w:frame="1"/>
        </w:rPr>
        <w:t xml:space="preserve">Due to the scale of the service requirements, the Council is required </w:t>
      </w:r>
      <w:r w:rsidRPr="2B74C623">
        <w:rPr>
          <w:rFonts w:cs="Arial"/>
        </w:rPr>
        <w:t>to</w:t>
      </w:r>
      <w:r>
        <w:rPr>
          <w:rFonts w:cs="Arial"/>
          <w:bdr w:val="none" w:sz="0" w:space="0" w:color="auto" w:frame="1"/>
        </w:rPr>
        <w:t xml:space="preserve"> contract through the formal </w:t>
      </w:r>
      <w:r w:rsidRPr="008B29C8">
        <w:rPr>
          <w:rFonts w:cs="Arial"/>
          <w:bdr w:val="none" w:sz="0" w:space="0" w:color="auto" w:frame="1"/>
        </w:rPr>
        <w:t>procurement process</w:t>
      </w:r>
      <w:r>
        <w:rPr>
          <w:rFonts w:cs="Arial"/>
          <w:bdr w:val="none" w:sz="0" w:space="0" w:color="auto" w:frame="1"/>
        </w:rPr>
        <w:t xml:space="preserve"> and to legally adhere to its procedures and outcomes. </w:t>
      </w:r>
      <w:r>
        <w:rPr>
          <w:rFonts w:cs="Arial"/>
          <w:bdr w:val="none" w:sz="0" w:space="0" w:color="auto" w:frame="1"/>
          <w:lang w:val="en-US"/>
        </w:rPr>
        <w:t>The</w:t>
      </w:r>
      <w:r w:rsidRPr="001B2B5F" w:rsidDel="000B7180">
        <w:rPr>
          <w:rFonts w:cs="Arial"/>
          <w:bdr w:val="none" w:sz="0" w:space="0" w:color="auto" w:frame="1"/>
          <w:lang w:val="en-US"/>
        </w:rPr>
        <w:t xml:space="preserve"> </w:t>
      </w:r>
      <w:r w:rsidRPr="001B2B5F">
        <w:rPr>
          <w:rFonts w:cs="Arial"/>
          <w:bdr w:val="none" w:sz="0" w:space="0" w:color="auto" w:frame="1"/>
          <w:lang w:val="en-US"/>
        </w:rPr>
        <w:t xml:space="preserve">recommendations </w:t>
      </w:r>
      <w:r>
        <w:rPr>
          <w:rFonts w:cs="Arial"/>
          <w:bdr w:val="none" w:sz="0" w:space="0" w:color="auto" w:frame="1"/>
          <w:lang w:val="en-US"/>
        </w:rPr>
        <w:t>of this report are t</w:t>
      </w:r>
      <w:r>
        <w:rPr>
          <w:rFonts w:cs="Arial"/>
          <w:bdr w:val="none" w:sz="0" w:space="0" w:color="auto" w:frame="1"/>
        </w:rPr>
        <w:t xml:space="preserve">he </w:t>
      </w:r>
      <w:r w:rsidRPr="001B2B5F">
        <w:rPr>
          <w:rFonts w:cs="Arial"/>
          <w:bdr w:val="none" w:sz="0" w:space="0" w:color="auto" w:frame="1"/>
          <w:lang w:val="en-US"/>
        </w:rPr>
        <w:t xml:space="preserve">conclusions </w:t>
      </w:r>
      <w:r>
        <w:rPr>
          <w:rFonts w:cs="Arial"/>
          <w:bdr w:val="none" w:sz="0" w:space="0" w:color="auto" w:frame="1"/>
          <w:lang w:val="en-US"/>
        </w:rPr>
        <w:t>of this tender process through which</w:t>
      </w:r>
      <w:r w:rsidRPr="001B2B5F">
        <w:rPr>
          <w:rFonts w:cs="Arial"/>
          <w:bdr w:val="none" w:sz="0" w:space="0" w:color="auto" w:frame="1"/>
          <w:lang w:val="en-US"/>
        </w:rPr>
        <w:t xml:space="preserve"> </w:t>
      </w:r>
      <w:r w:rsidRPr="31619BB5">
        <w:rPr>
          <w:rFonts w:cs="Arial"/>
        </w:rPr>
        <w:t>Serco Leisure Ltd</w:t>
      </w:r>
      <w:r w:rsidRPr="001B2B5F">
        <w:rPr>
          <w:rFonts w:cs="Arial"/>
          <w:color w:val="FF0000"/>
          <w:bdr w:val="none" w:sz="0" w:space="0" w:color="auto" w:frame="1"/>
          <w:lang w:val="en-US"/>
        </w:rPr>
        <w:t xml:space="preserve"> </w:t>
      </w:r>
      <w:r>
        <w:rPr>
          <w:rFonts w:cs="Arial"/>
          <w:bdr w:val="none" w:sz="0" w:space="0" w:color="auto" w:frame="1"/>
          <w:lang w:val="en-US"/>
        </w:rPr>
        <w:t xml:space="preserve">scored best and is considered </w:t>
      </w:r>
      <w:r w:rsidRPr="001B2B5F">
        <w:rPr>
          <w:rFonts w:cs="Arial"/>
          <w:bdr w:val="none" w:sz="0" w:space="0" w:color="auto" w:frame="1"/>
          <w:lang w:val="en-US"/>
        </w:rPr>
        <w:t>the preferred bidder in line with Council’s procurement polic</w:t>
      </w:r>
      <w:r>
        <w:rPr>
          <w:rFonts w:cs="Arial"/>
          <w:bdr w:val="none" w:sz="0" w:space="0" w:color="auto" w:frame="1"/>
          <w:lang w:val="en-US"/>
        </w:rPr>
        <w:t>ies</w:t>
      </w:r>
      <w:r w:rsidRPr="001B2B5F">
        <w:rPr>
          <w:rFonts w:cs="Arial"/>
          <w:bdr w:val="none" w:sz="0" w:space="0" w:color="auto" w:frame="1"/>
          <w:lang w:val="en-US"/>
        </w:rPr>
        <w:t xml:space="preserve"> and our legal requirements</w:t>
      </w:r>
      <w:r w:rsidRPr="31619BB5">
        <w:rPr>
          <w:rFonts w:cs="Arial"/>
          <w:lang w:val="en-US"/>
        </w:rPr>
        <w:t xml:space="preserve">. </w:t>
      </w:r>
    </w:p>
    <w:p w14:paraId="613E8D37" w14:textId="6230D08C" w:rsidR="000657DA" w:rsidRPr="00BD60F2" w:rsidRDefault="000657DA" w:rsidP="00430B64">
      <w:pPr>
        <w:pStyle w:val="ListParagraph"/>
        <w:numPr>
          <w:ilvl w:val="0"/>
          <w:numId w:val="7"/>
        </w:numPr>
        <w:tabs>
          <w:tab w:val="clear" w:pos="426"/>
        </w:tabs>
        <w:ind w:left="425" w:hanging="425"/>
        <w:jc w:val="both"/>
        <w:rPr>
          <w:rFonts w:cs="Arial"/>
          <w:bdr w:val="none" w:sz="0" w:space="0" w:color="auto" w:frame="1"/>
          <w:lang w:val="en-US"/>
        </w:rPr>
      </w:pPr>
      <w:r>
        <w:rPr>
          <w:rFonts w:cs="Arial"/>
          <w:bdr w:val="none" w:sz="0" w:space="0" w:color="auto" w:frame="1"/>
          <w:lang w:val="en-US"/>
        </w:rPr>
        <w:t>The report also explains f</w:t>
      </w:r>
      <w:r w:rsidRPr="008B29C8">
        <w:rPr>
          <w:rFonts w:cs="Arial"/>
          <w:bdr w:val="none" w:sz="0" w:space="0" w:color="auto" w:frame="1"/>
          <w:lang w:val="en-US"/>
        </w:rPr>
        <w:t xml:space="preserve">urther </w:t>
      </w:r>
      <w:r>
        <w:rPr>
          <w:rFonts w:cs="Arial"/>
          <w:bdr w:val="none" w:sz="0" w:space="0" w:color="auto" w:frame="1"/>
          <w:lang w:val="en-US"/>
        </w:rPr>
        <w:t xml:space="preserve">steps we need to take with </w:t>
      </w:r>
      <w:r w:rsidRPr="31619BB5">
        <w:rPr>
          <w:rFonts w:cs="Arial"/>
        </w:rPr>
        <w:t>Serco Leisure Ltd</w:t>
      </w:r>
      <w:r>
        <w:rPr>
          <w:rFonts w:cs="Arial"/>
          <w:bdr w:val="none" w:sz="0" w:space="0" w:color="auto" w:frame="1"/>
          <w:lang w:val="en-US"/>
        </w:rPr>
        <w:t xml:space="preserve"> to complete our </w:t>
      </w:r>
      <w:r w:rsidRPr="008B29C8">
        <w:rPr>
          <w:rFonts w:cs="Arial"/>
          <w:bdr w:val="none" w:sz="0" w:space="0" w:color="auto" w:frame="1"/>
          <w:lang w:val="en-US"/>
        </w:rPr>
        <w:t>due diligenc</w:t>
      </w:r>
      <w:r>
        <w:rPr>
          <w:rFonts w:cs="Arial"/>
          <w:bdr w:val="none" w:sz="0" w:space="0" w:color="auto" w:frame="1"/>
          <w:lang w:val="en-US"/>
        </w:rPr>
        <w:t>e, pre-contract negotiations</w:t>
      </w:r>
      <w:r w:rsidRPr="2B74C623">
        <w:rPr>
          <w:rFonts w:cs="Arial"/>
          <w:lang w:val="en-US"/>
        </w:rPr>
        <w:t xml:space="preserve">, and with Fusion to vary the current contract to </w:t>
      </w:r>
      <w:r>
        <w:rPr>
          <w:rFonts w:cs="Arial"/>
          <w:bdr w:val="none" w:sz="0" w:space="0" w:color="auto" w:frame="1"/>
          <w:lang w:val="en-US"/>
        </w:rPr>
        <w:t xml:space="preserve">provide for the continuation of specific data system and related </w:t>
      </w:r>
      <w:r w:rsidR="00887168">
        <w:rPr>
          <w:rFonts w:cs="Arial"/>
          <w:bdr w:val="none" w:sz="0" w:space="0" w:color="auto" w:frame="1"/>
          <w:lang w:val="en-US"/>
        </w:rPr>
        <w:t>back-office</w:t>
      </w:r>
      <w:r>
        <w:rPr>
          <w:rFonts w:cs="Arial"/>
          <w:bdr w:val="none" w:sz="0" w:space="0" w:color="auto" w:frame="1"/>
          <w:lang w:val="en-US"/>
        </w:rPr>
        <w:t xml:space="preserve"> function for a period of up to two months, should the need arise and to ensure a smooth transfer of services from 30 March 2024. </w:t>
      </w:r>
    </w:p>
    <w:p w14:paraId="7F19DA5E" w14:textId="77777777" w:rsidR="00F07734" w:rsidRPr="00FD0E55" w:rsidRDefault="00F07734" w:rsidP="00430B64">
      <w:pPr>
        <w:pStyle w:val="ListParagraph"/>
        <w:numPr>
          <w:ilvl w:val="0"/>
          <w:numId w:val="7"/>
        </w:numPr>
        <w:tabs>
          <w:tab w:val="clear" w:pos="426"/>
        </w:tabs>
        <w:spacing w:after="0"/>
        <w:ind w:left="425" w:hanging="425"/>
        <w:jc w:val="both"/>
        <w:rPr>
          <w:rFonts w:cs="Arial"/>
          <w:b/>
          <w:color w:val="000000" w:themeColor="text1"/>
          <w:bdr w:val="none" w:sz="0" w:space="0" w:color="auto" w:frame="1"/>
        </w:rPr>
      </w:pPr>
      <w:r>
        <w:rPr>
          <w:rFonts w:cs="Arial"/>
          <w:bdr w:val="none" w:sz="0" w:space="0" w:color="auto" w:frame="1"/>
          <w:lang w:val="en-US"/>
        </w:rPr>
        <w:t xml:space="preserve">We will </w:t>
      </w:r>
      <w:r>
        <w:rPr>
          <w:rFonts w:cs="Arial"/>
        </w:rPr>
        <w:t>set up</w:t>
      </w:r>
      <w:r w:rsidRPr="008B29C8">
        <w:rPr>
          <w:rFonts w:cs="Arial"/>
        </w:rPr>
        <w:t xml:space="preserve"> </w:t>
      </w:r>
      <w:r>
        <w:rPr>
          <w:rFonts w:cs="Arial"/>
        </w:rPr>
        <w:t xml:space="preserve">necessary service and corporate staffing and management arrangements for effectively commissioning and delivering the leisure services contract. </w:t>
      </w:r>
      <w:r w:rsidRPr="00C609EB">
        <w:rPr>
          <w:rFonts w:cs="Arial"/>
        </w:rPr>
        <w:t xml:space="preserve">These arrangements will assure that the contract </w:t>
      </w:r>
      <w:r>
        <w:rPr>
          <w:rFonts w:cs="Arial"/>
        </w:rPr>
        <w:t xml:space="preserve">terms </w:t>
      </w:r>
      <w:r w:rsidRPr="00C609EB">
        <w:rPr>
          <w:rFonts w:cs="Arial"/>
        </w:rPr>
        <w:t>are delivered, and improvement</w:t>
      </w:r>
      <w:r>
        <w:rPr>
          <w:rFonts w:cs="Arial"/>
        </w:rPr>
        <w:t>s</w:t>
      </w:r>
      <w:r w:rsidRPr="00C609EB">
        <w:rPr>
          <w:rFonts w:cs="Arial"/>
        </w:rPr>
        <w:t xml:space="preserve"> </w:t>
      </w:r>
      <w:r>
        <w:rPr>
          <w:rFonts w:cs="Arial"/>
        </w:rPr>
        <w:t>in</w:t>
      </w:r>
      <w:r w:rsidRPr="00C609EB">
        <w:rPr>
          <w:rFonts w:cs="Arial"/>
        </w:rPr>
        <w:t xml:space="preserve"> quality of services and facilities</w:t>
      </w:r>
      <w:r>
        <w:rPr>
          <w:rFonts w:cs="Arial"/>
        </w:rPr>
        <w:t xml:space="preserve"> are made</w:t>
      </w:r>
      <w:r w:rsidRPr="00C609EB">
        <w:rPr>
          <w:rFonts w:cs="Arial"/>
        </w:rPr>
        <w:t>.</w:t>
      </w:r>
    </w:p>
    <w:p w14:paraId="4DB5B5F0" w14:textId="12AE0276" w:rsidR="00D72F3A" w:rsidRDefault="00D72F3A" w:rsidP="00F07734">
      <w:pPr>
        <w:ind w:left="426" w:hanging="426"/>
      </w:pPr>
    </w:p>
    <w:p w14:paraId="3477A4A7" w14:textId="72190B17" w:rsidR="00F07734" w:rsidRDefault="00F07734" w:rsidP="00F07734">
      <w:pPr>
        <w:ind w:left="426" w:hanging="426"/>
        <w:rPr>
          <w:b/>
          <w:bCs/>
        </w:rPr>
      </w:pPr>
      <w:r>
        <w:rPr>
          <w:b/>
          <w:bCs/>
        </w:rPr>
        <w:lastRenderedPageBreak/>
        <w:t>Background</w:t>
      </w:r>
    </w:p>
    <w:p w14:paraId="11FCC0A3" w14:textId="77777777" w:rsidR="00321610" w:rsidRDefault="00321610" w:rsidP="00430B64">
      <w:pPr>
        <w:pStyle w:val="ListParagraph"/>
        <w:numPr>
          <w:ilvl w:val="0"/>
          <w:numId w:val="7"/>
        </w:numPr>
        <w:tabs>
          <w:tab w:val="clear" w:pos="426"/>
        </w:tabs>
        <w:spacing w:before="240"/>
        <w:ind w:left="426" w:hanging="426"/>
        <w:jc w:val="both"/>
        <w:rPr>
          <w:rFonts w:cs="Arial"/>
          <w:bdr w:val="none" w:sz="0" w:space="0" w:color="auto" w:frame="1"/>
        </w:rPr>
      </w:pPr>
      <w:r w:rsidRPr="008B29C8">
        <w:rPr>
          <w:rFonts w:cs="Arial"/>
          <w:bdr w:val="none" w:sz="0" w:space="0" w:color="auto" w:frame="1"/>
        </w:rPr>
        <w:t xml:space="preserve">In 2009 Oxford City Council entered </w:t>
      </w:r>
      <w:r w:rsidRPr="2B74C623">
        <w:rPr>
          <w:rFonts w:cs="Arial"/>
        </w:rPr>
        <w:t>a contract with Fusion Lifestyle to manage Oxford’s</w:t>
      </w:r>
      <w:r w:rsidRPr="008B29C8">
        <w:rPr>
          <w:rFonts w:cs="Arial"/>
          <w:bdr w:val="none" w:sz="0" w:space="0" w:color="auto" w:frame="1"/>
        </w:rPr>
        <w:t xml:space="preserve"> three leisure centres, </w:t>
      </w:r>
      <w:r>
        <w:rPr>
          <w:rFonts w:cs="Arial"/>
          <w:bdr w:val="none" w:sz="0" w:space="0" w:color="auto" w:frame="1"/>
        </w:rPr>
        <w:t>Hinksey o</w:t>
      </w:r>
      <w:r w:rsidRPr="008B29C8">
        <w:rPr>
          <w:rFonts w:cs="Arial"/>
          <w:bdr w:val="none" w:sz="0" w:space="0" w:color="auto" w:frame="1"/>
        </w:rPr>
        <w:t xml:space="preserve">utdoor </w:t>
      </w:r>
      <w:r>
        <w:rPr>
          <w:rFonts w:cs="Arial"/>
          <w:bdr w:val="none" w:sz="0" w:space="0" w:color="auto" w:frame="1"/>
        </w:rPr>
        <w:t>p</w:t>
      </w:r>
      <w:r w:rsidRPr="008B29C8">
        <w:rPr>
          <w:rFonts w:cs="Arial"/>
          <w:bdr w:val="none" w:sz="0" w:space="0" w:color="auto" w:frame="1"/>
        </w:rPr>
        <w:t xml:space="preserve">ool, and </w:t>
      </w:r>
      <w:r>
        <w:rPr>
          <w:rFonts w:cs="Arial"/>
          <w:bdr w:val="none" w:sz="0" w:space="0" w:color="auto" w:frame="1"/>
        </w:rPr>
        <w:t>Oxford I</w:t>
      </w:r>
      <w:r w:rsidRPr="008B29C8">
        <w:rPr>
          <w:rFonts w:cs="Arial"/>
          <w:bdr w:val="none" w:sz="0" w:space="0" w:color="auto" w:frame="1"/>
        </w:rPr>
        <w:t xml:space="preserve">ce </w:t>
      </w:r>
      <w:r>
        <w:rPr>
          <w:rFonts w:cs="Arial"/>
          <w:bdr w:val="none" w:sz="0" w:space="0" w:color="auto" w:frame="1"/>
        </w:rPr>
        <w:t>R</w:t>
      </w:r>
      <w:r w:rsidRPr="2B74C623">
        <w:rPr>
          <w:rFonts w:cs="Arial"/>
        </w:rPr>
        <w:t xml:space="preserve">ink. The contract was for an initial 10-year period with a five-year extension </w:t>
      </w:r>
      <w:r w:rsidRPr="008B29C8">
        <w:rPr>
          <w:rFonts w:cs="Arial"/>
          <w:bdr w:val="none" w:sz="0" w:space="0" w:color="auto" w:frame="1"/>
        </w:rPr>
        <w:t>option</w:t>
      </w:r>
      <w:r>
        <w:rPr>
          <w:rFonts w:cs="Arial"/>
          <w:bdr w:val="none" w:sz="0" w:space="0" w:color="auto" w:frame="1"/>
        </w:rPr>
        <w:t xml:space="preserve">, which was extended, taking the </w:t>
      </w:r>
      <w:r w:rsidRPr="008B29C8">
        <w:rPr>
          <w:rFonts w:cs="Arial"/>
          <w:bdr w:val="none" w:sz="0" w:space="0" w:color="auto" w:frame="1"/>
        </w:rPr>
        <w:t>contract to March 2024</w:t>
      </w:r>
      <w:r>
        <w:rPr>
          <w:rFonts w:cs="Arial"/>
          <w:bdr w:val="none" w:sz="0" w:space="0" w:color="auto" w:frame="1"/>
        </w:rPr>
        <w:t>.</w:t>
      </w:r>
    </w:p>
    <w:p w14:paraId="3C02D192" w14:textId="77777777" w:rsidR="002536B0" w:rsidRPr="002536B0" w:rsidRDefault="00431863" w:rsidP="00430B64">
      <w:pPr>
        <w:pStyle w:val="ListParagraph"/>
        <w:numPr>
          <w:ilvl w:val="0"/>
          <w:numId w:val="7"/>
        </w:numPr>
        <w:tabs>
          <w:tab w:val="clear" w:pos="426"/>
        </w:tabs>
        <w:spacing w:after="0"/>
        <w:ind w:left="426" w:hanging="426"/>
        <w:jc w:val="both"/>
        <w:rPr>
          <w:rFonts w:cs="Arial"/>
          <w:bdr w:val="none" w:sz="0" w:space="0" w:color="auto" w:frame="1"/>
        </w:rPr>
      </w:pPr>
      <w:r>
        <w:rPr>
          <w:rFonts w:cs="Arial"/>
          <w:bdr w:val="none" w:sz="0" w:space="0" w:color="auto" w:frame="1"/>
        </w:rPr>
        <w:t xml:space="preserve">While </w:t>
      </w:r>
      <w:r w:rsidRPr="002C3CE5">
        <w:rPr>
          <w:rFonts w:cs="Arial"/>
          <w:bdr w:val="none" w:sz="0" w:space="0" w:color="auto" w:frame="1"/>
        </w:rPr>
        <w:t>initially successful with usage</w:t>
      </w:r>
      <w:r>
        <w:rPr>
          <w:rFonts w:cs="Arial"/>
          <w:bdr w:val="none" w:sz="0" w:space="0" w:color="auto" w:frame="1"/>
        </w:rPr>
        <w:t xml:space="preserve"> levels</w:t>
      </w:r>
      <w:r w:rsidRPr="002C3CE5">
        <w:rPr>
          <w:rFonts w:cs="Arial"/>
          <w:bdr w:val="none" w:sz="0" w:space="0" w:color="auto" w:frame="1"/>
        </w:rPr>
        <w:t xml:space="preserve"> increasing and </w:t>
      </w:r>
      <w:r>
        <w:rPr>
          <w:rFonts w:cs="Arial"/>
          <w:bdr w:val="none" w:sz="0" w:space="0" w:color="auto" w:frame="1"/>
        </w:rPr>
        <w:t xml:space="preserve">operating </w:t>
      </w:r>
      <w:r w:rsidRPr="002C3CE5">
        <w:rPr>
          <w:rFonts w:cs="Arial"/>
          <w:bdr w:val="none" w:sz="0" w:space="0" w:color="auto" w:frame="1"/>
        </w:rPr>
        <w:t xml:space="preserve">costs reducing, in </w:t>
      </w:r>
      <w:r>
        <w:rPr>
          <w:rFonts w:cs="Arial"/>
          <w:bdr w:val="none" w:sz="0" w:space="0" w:color="auto" w:frame="1"/>
        </w:rPr>
        <w:t>the face of</w:t>
      </w:r>
      <w:r w:rsidRPr="002C3CE5">
        <w:rPr>
          <w:rFonts w:cs="Arial"/>
          <w:bdr w:val="none" w:sz="0" w:space="0" w:color="auto" w:frame="1"/>
        </w:rPr>
        <w:t xml:space="preserve"> t</w:t>
      </w:r>
      <w:r>
        <w:rPr>
          <w:rFonts w:cs="Arial"/>
          <w:bdr w:val="none" w:sz="0" w:space="0" w:color="auto" w:frame="1"/>
        </w:rPr>
        <w:t xml:space="preserve">he </w:t>
      </w:r>
      <w:r w:rsidRPr="002C3CE5">
        <w:rPr>
          <w:rFonts w:cs="Arial"/>
          <w:bdr w:val="none" w:sz="0" w:space="0" w:color="auto" w:frame="1"/>
        </w:rPr>
        <w:t xml:space="preserve">challenges </w:t>
      </w:r>
      <w:r w:rsidRPr="2B74C623">
        <w:rPr>
          <w:rFonts w:cs="Arial"/>
        </w:rPr>
        <w:t>posed by the Brexit, Covid pandemic and subsequent</w:t>
      </w:r>
      <w:r>
        <w:rPr>
          <w:rFonts w:cs="Arial"/>
          <w:bdr w:val="none" w:sz="0" w:space="0" w:color="auto" w:frame="1"/>
        </w:rPr>
        <w:t xml:space="preserve"> cost of living concerns, </w:t>
      </w:r>
      <w:r w:rsidRPr="002C3CE5">
        <w:rPr>
          <w:rFonts w:cs="Arial"/>
          <w:bdr w:val="none" w:sz="0" w:space="0" w:color="auto" w:frame="1"/>
        </w:rPr>
        <w:t xml:space="preserve">the contract with Fusion has </w:t>
      </w:r>
      <w:r>
        <w:rPr>
          <w:rFonts w:cs="Arial"/>
          <w:bdr w:val="none" w:sz="0" w:space="0" w:color="auto" w:frame="1"/>
        </w:rPr>
        <w:t>since 2019 seen</w:t>
      </w:r>
      <w:r w:rsidRPr="002C3CE5">
        <w:rPr>
          <w:rFonts w:cs="Arial"/>
          <w:bdr w:val="none" w:sz="0" w:space="0" w:color="auto" w:frame="1"/>
        </w:rPr>
        <w:t xml:space="preserve"> a decline in levels of usage and service standards. </w:t>
      </w:r>
      <w:r w:rsidRPr="002C3CE5">
        <w:rPr>
          <w:rFonts w:cs="Arial"/>
          <w:lang w:val="en-US"/>
        </w:rPr>
        <w:t>Table 1 below</w:t>
      </w:r>
      <w:r>
        <w:rPr>
          <w:rFonts w:cs="Arial"/>
          <w:lang w:val="en-US"/>
        </w:rPr>
        <w:t xml:space="preserve"> shows that </w:t>
      </w:r>
      <w:r w:rsidRPr="002C3CE5">
        <w:rPr>
          <w:rFonts w:cs="Arial"/>
        </w:rPr>
        <w:t>Oxford’s leisure centres</w:t>
      </w:r>
      <w:r>
        <w:rPr>
          <w:rFonts w:cs="Arial"/>
        </w:rPr>
        <w:t xml:space="preserve"> </w:t>
      </w:r>
      <w:r w:rsidRPr="002C3CE5">
        <w:rPr>
          <w:rFonts w:cs="Arial"/>
        </w:rPr>
        <w:t xml:space="preserve">have </w:t>
      </w:r>
      <w:r>
        <w:rPr>
          <w:rFonts w:cs="Arial"/>
        </w:rPr>
        <w:t xml:space="preserve">also </w:t>
      </w:r>
      <w:r w:rsidRPr="002C3CE5">
        <w:rPr>
          <w:rFonts w:cs="Arial"/>
        </w:rPr>
        <w:t>struggled to recover - except for</w:t>
      </w:r>
      <w:r w:rsidRPr="002C3CE5">
        <w:rPr>
          <w:rFonts w:cs="Arial"/>
          <w:lang w:val="en-US"/>
        </w:rPr>
        <w:t xml:space="preserve"> Hinksey Outdoor Pool</w:t>
      </w:r>
      <w:r>
        <w:rPr>
          <w:rFonts w:cs="Arial"/>
          <w:lang w:val="en-US"/>
        </w:rPr>
        <w:t xml:space="preserve"> </w:t>
      </w:r>
      <w:r w:rsidRPr="002C3CE5">
        <w:rPr>
          <w:rFonts w:cs="Arial"/>
          <w:lang w:val="en-US"/>
        </w:rPr>
        <w:t>where usage has increased to pre-pandemic levels</w:t>
      </w:r>
      <w:r w:rsidR="002536B0">
        <w:rPr>
          <w:rFonts w:cs="Arial"/>
          <w:lang w:val="en-US"/>
        </w:rPr>
        <w:t>.</w:t>
      </w:r>
    </w:p>
    <w:p w14:paraId="324CDD88" w14:textId="361E1B1C" w:rsidR="00431863" w:rsidRPr="002C3CE5" w:rsidRDefault="00431863" w:rsidP="002536B0">
      <w:pPr>
        <w:pStyle w:val="ListParagraph"/>
        <w:numPr>
          <w:ilvl w:val="0"/>
          <w:numId w:val="0"/>
        </w:numPr>
        <w:tabs>
          <w:tab w:val="clear" w:pos="426"/>
        </w:tabs>
        <w:spacing w:after="0"/>
        <w:ind w:left="426"/>
        <w:rPr>
          <w:rFonts w:cs="Arial"/>
          <w:bdr w:val="none" w:sz="0" w:space="0" w:color="auto" w:frame="1"/>
        </w:rPr>
      </w:pPr>
      <w:r w:rsidRPr="002C3CE5">
        <w:rPr>
          <w:rFonts w:cs="Arial"/>
          <w:lang w:val="en-US"/>
        </w:rPr>
        <w:t xml:space="preserve"> </w:t>
      </w:r>
    </w:p>
    <w:p w14:paraId="49DB769C" w14:textId="77777777" w:rsidR="00431863" w:rsidRPr="008B29C8" w:rsidRDefault="00431863" w:rsidP="00431863">
      <w:pPr>
        <w:ind w:left="425"/>
        <w:textAlignment w:val="baseline"/>
        <w:rPr>
          <w:rFonts w:cs="Arial"/>
          <w:u w:val="single"/>
          <w:lang w:val="en-US"/>
        </w:rPr>
      </w:pPr>
      <w:r>
        <w:rPr>
          <w:rFonts w:cs="Arial"/>
          <w:u w:val="single"/>
          <w:lang w:val="en-US"/>
        </w:rPr>
        <w:t xml:space="preserve">Table 1: </w:t>
      </w:r>
      <w:r w:rsidRPr="008B29C8">
        <w:rPr>
          <w:rFonts w:cs="Arial"/>
          <w:u w:val="single"/>
          <w:lang w:val="en-US"/>
        </w:rPr>
        <w:t>Comparison of usage over the Fusion contract period</w:t>
      </w:r>
    </w:p>
    <w:tbl>
      <w:tblPr>
        <w:tblW w:w="9355" w:type="dxa"/>
        <w:tblInd w:w="434" w:type="dxa"/>
        <w:tblCellMar>
          <w:left w:w="0" w:type="dxa"/>
          <w:right w:w="0" w:type="dxa"/>
        </w:tblCellMar>
        <w:tblLook w:val="04A0" w:firstRow="1" w:lastRow="0" w:firstColumn="1" w:lastColumn="0" w:noHBand="0" w:noVBand="1"/>
      </w:tblPr>
      <w:tblGrid>
        <w:gridCol w:w="2835"/>
        <w:gridCol w:w="2409"/>
        <w:gridCol w:w="1985"/>
        <w:gridCol w:w="2126"/>
      </w:tblGrid>
      <w:tr w:rsidR="00742DE1" w:rsidRPr="008B29C8" w14:paraId="458A3104" w14:textId="77777777" w:rsidTr="00B66085">
        <w:trPr>
          <w:trHeight w:val="296"/>
        </w:trPr>
        <w:tc>
          <w:tcPr>
            <w:tcW w:w="2835" w:type="dxa"/>
            <w:tcBorders>
              <w:top w:val="single" w:sz="6" w:space="0" w:color="D9D9E3"/>
              <w:left w:val="single" w:sz="6" w:space="0" w:color="D9D9E3"/>
              <w:bottom w:val="single" w:sz="6" w:space="0" w:color="D9D9E3"/>
              <w:right w:val="single" w:sz="2" w:space="0" w:color="D9D9E3"/>
            </w:tcBorders>
            <w:shd w:val="clear" w:color="auto" w:fill="DAEEF3" w:themeFill="accent5" w:themeFillTint="33"/>
            <w:vAlign w:val="bottom"/>
            <w:hideMark/>
          </w:tcPr>
          <w:p w14:paraId="50CA0F9B" w14:textId="77777777" w:rsidR="00742DE1" w:rsidRPr="008B29C8" w:rsidRDefault="00742DE1" w:rsidP="00B66085">
            <w:pPr>
              <w:textAlignment w:val="baseline"/>
              <w:rPr>
                <w:rFonts w:cs="Arial"/>
                <w:lang w:val="en-US"/>
              </w:rPr>
            </w:pPr>
            <w:r w:rsidRPr="008B29C8">
              <w:rPr>
                <w:rFonts w:cs="Arial"/>
                <w:b/>
                <w:bCs/>
              </w:rPr>
              <w:t>Site</w:t>
            </w:r>
            <w:r w:rsidRPr="008B29C8">
              <w:rPr>
                <w:rFonts w:cs="Arial"/>
                <w:lang w:val="en-US"/>
              </w:rPr>
              <w:t> </w:t>
            </w:r>
          </w:p>
        </w:tc>
        <w:tc>
          <w:tcPr>
            <w:tcW w:w="2409" w:type="dxa"/>
            <w:tcBorders>
              <w:top w:val="single" w:sz="6" w:space="0" w:color="D9D9E3"/>
              <w:left w:val="single" w:sz="6" w:space="0" w:color="D9D9E3"/>
              <w:bottom w:val="single" w:sz="6" w:space="0" w:color="D9D9E3"/>
              <w:right w:val="single" w:sz="2" w:space="0" w:color="D9D9E3"/>
            </w:tcBorders>
            <w:shd w:val="clear" w:color="auto" w:fill="DAEEF3" w:themeFill="accent5" w:themeFillTint="33"/>
            <w:vAlign w:val="bottom"/>
            <w:hideMark/>
          </w:tcPr>
          <w:p w14:paraId="72C59F92" w14:textId="77777777" w:rsidR="00742DE1" w:rsidRPr="003B5846" w:rsidRDefault="00742DE1" w:rsidP="00B66085">
            <w:pPr>
              <w:textAlignment w:val="baseline"/>
              <w:rPr>
                <w:rFonts w:cs="Arial"/>
                <w:sz w:val="20"/>
                <w:szCs w:val="20"/>
                <w:lang w:val="en-US"/>
              </w:rPr>
            </w:pPr>
            <w:r w:rsidRPr="008B29C8">
              <w:rPr>
                <w:rFonts w:cs="Arial"/>
                <w:b/>
                <w:bCs/>
                <w:lang w:val="en-US"/>
              </w:rPr>
              <w:t xml:space="preserve">2009 </w:t>
            </w:r>
            <w:r w:rsidRPr="31619BB5">
              <w:rPr>
                <w:rFonts w:cs="Arial"/>
                <w:lang w:val="en-US"/>
              </w:rPr>
              <w:t>(</w:t>
            </w:r>
            <w:r w:rsidRPr="003B5846">
              <w:rPr>
                <w:rFonts w:cs="Arial"/>
                <w:sz w:val="20"/>
                <w:szCs w:val="20"/>
                <w:lang w:val="en-US"/>
              </w:rPr>
              <w:t xml:space="preserve">yr. one of </w:t>
            </w:r>
          </w:p>
          <w:p w14:paraId="2287A452" w14:textId="77777777" w:rsidR="00742DE1" w:rsidRPr="008B29C8" w:rsidRDefault="00742DE1" w:rsidP="00B66085">
            <w:pPr>
              <w:textAlignment w:val="baseline"/>
              <w:rPr>
                <w:rFonts w:cs="Arial"/>
                <w:b/>
                <w:bCs/>
                <w:lang w:val="en-US"/>
              </w:rPr>
            </w:pPr>
            <w:r w:rsidRPr="003B5846">
              <w:rPr>
                <w:rFonts w:cs="Arial"/>
                <w:sz w:val="20"/>
                <w:szCs w:val="20"/>
                <w:lang w:val="en-US"/>
              </w:rPr>
              <w:t>the Fusion contract</w:t>
            </w:r>
            <w:r>
              <w:rPr>
                <w:rFonts w:cs="Arial"/>
                <w:sz w:val="20"/>
                <w:szCs w:val="20"/>
                <w:lang w:val="en-US"/>
              </w:rPr>
              <w:t>)</w:t>
            </w:r>
          </w:p>
        </w:tc>
        <w:tc>
          <w:tcPr>
            <w:tcW w:w="1985" w:type="dxa"/>
            <w:tcBorders>
              <w:top w:val="single" w:sz="6" w:space="0" w:color="D9D9E3"/>
              <w:left w:val="single" w:sz="6" w:space="0" w:color="D9D9E3"/>
              <w:bottom w:val="single" w:sz="6" w:space="0" w:color="D9D9E3"/>
              <w:right w:val="single" w:sz="2" w:space="0" w:color="D9D9E3"/>
            </w:tcBorders>
            <w:shd w:val="clear" w:color="auto" w:fill="DAEEF3" w:themeFill="accent5" w:themeFillTint="33"/>
            <w:vAlign w:val="bottom"/>
            <w:hideMark/>
          </w:tcPr>
          <w:p w14:paraId="48B79011" w14:textId="77777777" w:rsidR="00742DE1" w:rsidRPr="008B29C8" w:rsidRDefault="00742DE1" w:rsidP="00B66085">
            <w:pPr>
              <w:textAlignment w:val="baseline"/>
              <w:rPr>
                <w:rFonts w:cs="Arial"/>
                <w:lang w:val="en-US"/>
              </w:rPr>
            </w:pPr>
            <w:r w:rsidRPr="008B29C8">
              <w:rPr>
                <w:rFonts w:cs="Arial"/>
                <w:b/>
                <w:bCs/>
              </w:rPr>
              <w:t>2014</w:t>
            </w:r>
          </w:p>
        </w:tc>
        <w:tc>
          <w:tcPr>
            <w:tcW w:w="2126" w:type="dxa"/>
            <w:tcBorders>
              <w:top w:val="single" w:sz="6" w:space="0" w:color="D9D9E3"/>
              <w:left w:val="single" w:sz="6" w:space="0" w:color="D9D9E3"/>
              <w:bottom w:val="single" w:sz="6" w:space="0" w:color="D9D9E3"/>
              <w:right w:val="single" w:sz="2" w:space="0" w:color="D9D9E3"/>
            </w:tcBorders>
            <w:shd w:val="clear" w:color="auto" w:fill="DAEEF3" w:themeFill="accent5" w:themeFillTint="33"/>
            <w:vAlign w:val="bottom"/>
            <w:hideMark/>
          </w:tcPr>
          <w:p w14:paraId="451EB172" w14:textId="77777777" w:rsidR="00742DE1" w:rsidRPr="008B29C8" w:rsidRDefault="00742DE1" w:rsidP="00B66085">
            <w:pPr>
              <w:textAlignment w:val="baseline"/>
              <w:rPr>
                <w:rFonts w:cs="Arial"/>
                <w:lang w:val="en-US"/>
              </w:rPr>
            </w:pPr>
            <w:r w:rsidRPr="008B29C8">
              <w:rPr>
                <w:rFonts w:cs="Arial"/>
                <w:b/>
                <w:bCs/>
              </w:rPr>
              <w:t>2022</w:t>
            </w:r>
          </w:p>
        </w:tc>
      </w:tr>
      <w:tr w:rsidR="00742DE1" w:rsidRPr="008B29C8" w14:paraId="4BD8454A" w14:textId="77777777" w:rsidTr="00B66085">
        <w:trPr>
          <w:trHeight w:val="296"/>
        </w:trPr>
        <w:tc>
          <w:tcPr>
            <w:tcW w:w="2835" w:type="dxa"/>
            <w:tcBorders>
              <w:top w:val="single" w:sz="2" w:space="0" w:color="D9D9E3"/>
              <w:left w:val="single" w:sz="6" w:space="0" w:color="D9D9E3"/>
              <w:bottom w:val="single" w:sz="6" w:space="0" w:color="D9D9E3"/>
              <w:right w:val="single" w:sz="2" w:space="0" w:color="D9D9E3"/>
            </w:tcBorders>
            <w:shd w:val="clear" w:color="auto" w:fill="auto"/>
            <w:hideMark/>
          </w:tcPr>
          <w:p w14:paraId="61872EAF" w14:textId="77777777" w:rsidR="00742DE1" w:rsidRPr="008B29C8" w:rsidRDefault="00742DE1" w:rsidP="00B66085">
            <w:pPr>
              <w:textAlignment w:val="baseline"/>
              <w:rPr>
                <w:rFonts w:cs="Arial"/>
                <w:sz w:val="20"/>
                <w:szCs w:val="20"/>
                <w:lang w:val="en-US"/>
              </w:rPr>
            </w:pPr>
            <w:r w:rsidRPr="008B29C8">
              <w:rPr>
                <w:rFonts w:cs="Arial"/>
                <w:sz w:val="20"/>
                <w:szCs w:val="20"/>
              </w:rPr>
              <w:t>Barton</w:t>
            </w:r>
            <w:r w:rsidRPr="008B29C8">
              <w:rPr>
                <w:rFonts w:cs="Arial"/>
                <w:sz w:val="20"/>
                <w:szCs w:val="20"/>
                <w:lang w:val="en-US"/>
              </w:rPr>
              <w:t> </w:t>
            </w:r>
          </w:p>
        </w:tc>
        <w:tc>
          <w:tcPr>
            <w:tcW w:w="2409" w:type="dxa"/>
            <w:tcBorders>
              <w:top w:val="single" w:sz="2" w:space="0" w:color="D9D9E3"/>
              <w:left w:val="single" w:sz="6" w:space="0" w:color="D9D9E3"/>
              <w:bottom w:val="single" w:sz="6" w:space="0" w:color="D9D9E3"/>
              <w:right w:val="single" w:sz="2" w:space="0" w:color="D9D9E3"/>
            </w:tcBorders>
            <w:shd w:val="clear" w:color="auto" w:fill="auto"/>
            <w:hideMark/>
          </w:tcPr>
          <w:p w14:paraId="1A16CD50" w14:textId="77777777" w:rsidR="00742DE1" w:rsidRPr="008B29C8" w:rsidRDefault="00742DE1" w:rsidP="00B66085">
            <w:pPr>
              <w:textAlignment w:val="baseline"/>
              <w:rPr>
                <w:rFonts w:cs="Arial"/>
                <w:sz w:val="20"/>
                <w:szCs w:val="20"/>
                <w:lang w:val="en-US"/>
              </w:rPr>
            </w:pPr>
            <w:r w:rsidRPr="008B29C8">
              <w:rPr>
                <w:rFonts w:cs="Arial"/>
                <w:sz w:val="20"/>
                <w:szCs w:val="20"/>
              </w:rPr>
              <w:t>57,496</w:t>
            </w:r>
            <w:r w:rsidRPr="008B29C8">
              <w:rPr>
                <w:rFonts w:cs="Arial"/>
                <w:sz w:val="20"/>
                <w:szCs w:val="20"/>
                <w:lang w:val="en-US"/>
              </w:rPr>
              <w:t> </w:t>
            </w:r>
          </w:p>
        </w:tc>
        <w:tc>
          <w:tcPr>
            <w:tcW w:w="1985" w:type="dxa"/>
            <w:tcBorders>
              <w:top w:val="single" w:sz="2" w:space="0" w:color="D9D9E3"/>
              <w:left w:val="single" w:sz="6" w:space="0" w:color="D9D9E3"/>
              <w:bottom w:val="single" w:sz="6" w:space="0" w:color="D9D9E3"/>
              <w:right w:val="single" w:sz="2" w:space="0" w:color="D9D9E3"/>
            </w:tcBorders>
            <w:shd w:val="clear" w:color="auto" w:fill="auto"/>
            <w:hideMark/>
          </w:tcPr>
          <w:p w14:paraId="77CF3274" w14:textId="77777777" w:rsidR="00742DE1" w:rsidRPr="008B29C8" w:rsidRDefault="00742DE1" w:rsidP="00B66085">
            <w:pPr>
              <w:textAlignment w:val="baseline"/>
              <w:rPr>
                <w:rFonts w:cs="Arial"/>
                <w:sz w:val="20"/>
                <w:szCs w:val="20"/>
                <w:lang w:val="en-US"/>
              </w:rPr>
            </w:pPr>
            <w:r w:rsidRPr="008B29C8">
              <w:rPr>
                <w:rFonts w:cs="Arial"/>
                <w:sz w:val="20"/>
                <w:szCs w:val="20"/>
              </w:rPr>
              <w:t>138,123</w:t>
            </w:r>
            <w:r w:rsidRPr="008B29C8">
              <w:rPr>
                <w:rFonts w:cs="Arial"/>
                <w:sz w:val="20"/>
                <w:szCs w:val="20"/>
                <w:lang w:val="en-US"/>
              </w:rPr>
              <w:t> </w:t>
            </w:r>
          </w:p>
        </w:tc>
        <w:tc>
          <w:tcPr>
            <w:tcW w:w="2126" w:type="dxa"/>
            <w:tcBorders>
              <w:top w:val="single" w:sz="2" w:space="0" w:color="D9D9E3"/>
              <w:left w:val="single" w:sz="6" w:space="0" w:color="D9D9E3"/>
              <w:bottom w:val="single" w:sz="6" w:space="0" w:color="D9D9E3"/>
              <w:right w:val="single" w:sz="2" w:space="0" w:color="D9D9E3"/>
            </w:tcBorders>
            <w:shd w:val="clear" w:color="auto" w:fill="auto"/>
            <w:hideMark/>
          </w:tcPr>
          <w:p w14:paraId="62CF756A" w14:textId="77777777" w:rsidR="00742DE1" w:rsidRPr="008B29C8" w:rsidRDefault="00742DE1" w:rsidP="00B66085">
            <w:pPr>
              <w:textAlignment w:val="baseline"/>
              <w:rPr>
                <w:rFonts w:cs="Arial"/>
                <w:sz w:val="20"/>
                <w:szCs w:val="20"/>
                <w:lang w:val="en-US"/>
              </w:rPr>
            </w:pPr>
            <w:r w:rsidRPr="008B29C8">
              <w:rPr>
                <w:rFonts w:cs="Arial"/>
                <w:sz w:val="20"/>
                <w:szCs w:val="20"/>
              </w:rPr>
              <w:t>67,625</w:t>
            </w:r>
            <w:r w:rsidRPr="008B29C8">
              <w:rPr>
                <w:rFonts w:cs="Arial"/>
                <w:sz w:val="20"/>
                <w:szCs w:val="20"/>
                <w:lang w:val="en-US"/>
              </w:rPr>
              <w:t> </w:t>
            </w:r>
          </w:p>
        </w:tc>
      </w:tr>
      <w:tr w:rsidR="00742DE1" w:rsidRPr="008B29C8" w14:paraId="276FD07C" w14:textId="77777777" w:rsidTr="00B66085">
        <w:trPr>
          <w:trHeight w:val="296"/>
        </w:trPr>
        <w:tc>
          <w:tcPr>
            <w:tcW w:w="2835" w:type="dxa"/>
            <w:tcBorders>
              <w:top w:val="single" w:sz="2" w:space="0" w:color="D9D9E3"/>
              <w:left w:val="single" w:sz="6" w:space="0" w:color="D9D9E3"/>
              <w:bottom w:val="single" w:sz="6" w:space="0" w:color="D9D9E3"/>
              <w:right w:val="single" w:sz="2" w:space="0" w:color="D9D9E3"/>
            </w:tcBorders>
            <w:shd w:val="clear" w:color="auto" w:fill="auto"/>
            <w:hideMark/>
          </w:tcPr>
          <w:p w14:paraId="42E7034C" w14:textId="77777777" w:rsidR="00742DE1" w:rsidRPr="008B29C8" w:rsidRDefault="00742DE1" w:rsidP="00B66085">
            <w:pPr>
              <w:textAlignment w:val="baseline"/>
              <w:rPr>
                <w:rFonts w:cs="Arial"/>
                <w:sz w:val="20"/>
                <w:szCs w:val="20"/>
                <w:lang w:val="en-US"/>
              </w:rPr>
            </w:pPr>
            <w:r w:rsidRPr="008B29C8">
              <w:rPr>
                <w:rFonts w:cs="Arial"/>
                <w:sz w:val="20"/>
                <w:szCs w:val="20"/>
              </w:rPr>
              <w:t>Ferry</w:t>
            </w:r>
            <w:r w:rsidRPr="008B29C8">
              <w:rPr>
                <w:rFonts w:cs="Arial"/>
                <w:sz w:val="20"/>
                <w:szCs w:val="20"/>
                <w:lang w:val="en-US"/>
              </w:rPr>
              <w:t> </w:t>
            </w:r>
          </w:p>
        </w:tc>
        <w:tc>
          <w:tcPr>
            <w:tcW w:w="2409" w:type="dxa"/>
            <w:tcBorders>
              <w:top w:val="single" w:sz="2" w:space="0" w:color="D9D9E3"/>
              <w:left w:val="single" w:sz="6" w:space="0" w:color="D9D9E3"/>
              <w:bottom w:val="single" w:sz="6" w:space="0" w:color="D9D9E3"/>
              <w:right w:val="single" w:sz="2" w:space="0" w:color="D9D9E3"/>
            </w:tcBorders>
            <w:shd w:val="clear" w:color="auto" w:fill="auto"/>
            <w:hideMark/>
          </w:tcPr>
          <w:p w14:paraId="3376452A" w14:textId="77777777" w:rsidR="00742DE1" w:rsidRPr="008B29C8" w:rsidRDefault="00742DE1" w:rsidP="00B66085">
            <w:pPr>
              <w:textAlignment w:val="baseline"/>
              <w:rPr>
                <w:rFonts w:cs="Arial"/>
                <w:sz w:val="20"/>
                <w:szCs w:val="20"/>
                <w:lang w:val="en-US"/>
              </w:rPr>
            </w:pPr>
            <w:r w:rsidRPr="008B29C8">
              <w:rPr>
                <w:rFonts w:cs="Arial"/>
                <w:sz w:val="20"/>
                <w:szCs w:val="20"/>
              </w:rPr>
              <w:t>265,036</w:t>
            </w:r>
            <w:r w:rsidRPr="008B29C8">
              <w:rPr>
                <w:rFonts w:cs="Arial"/>
                <w:sz w:val="20"/>
                <w:szCs w:val="20"/>
                <w:lang w:val="en-US"/>
              </w:rPr>
              <w:t> </w:t>
            </w:r>
          </w:p>
        </w:tc>
        <w:tc>
          <w:tcPr>
            <w:tcW w:w="1985" w:type="dxa"/>
            <w:tcBorders>
              <w:top w:val="single" w:sz="2" w:space="0" w:color="D9D9E3"/>
              <w:left w:val="single" w:sz="6" w:space="0" w:color="D9D9E3"/>
              <w:bottom w:val="single" w:sz="6" w:space="0" w:color="D9D9E3"/>
              <w:right w:val="single" w:sz="2" w:space="0" w:color="D9D9E3"/>
            </w:tcBorders>
            <w:shd w:val="clear" w:color="auto" w:fill="auto"/>
            <w:hideMark/>
          </w:tcPr>
          <w:p w14:paraId="5B482BD5" w14:textId="77777777" w:rsidR="00742DE1" w:rsidRPr="008B29C8" w:rsidRDefault="00742DE1" w:rsidP="00B66085">
            <w:pPr>
              <w:textAlignment w:val="baseline"/>
              <w:rPr>
                <w:rFonts w:cs="Arial"/>
                <w:sz w:val="20"/>
                <w:szCs w:val="20"/>
                <w:lang w:val="en-US"/>
              </w:rPr>
            </w:pPr>
            <w:r w:rsidRPr="008B29C8">
              <w:rPr>
                <w:rFonts w:cs="Arial"/>
                <w:sz w:val="20"/>
                <w:szCs w:val="20"/>
              </w:rPr>
              <w:t>639,331</w:t>
            </w:r>
            <w:r w:rsidRPr="008B29C8">
              <w:rPr>
                <w:rFonts w:cs="Arial"/>
                <w:sz w:val="20"/>
                <w:szCs w:val="20"/>
                <w:lang w:val="en-US"/>
              </w:rPr>
              <w:t> </w:t>
            </w:r>
          </w:p>
        </w:tc>
        <w:tc>
          <w:tcPr>
            <w:tcW w:w="2126" w:type="dxa"/>
            <w:tcBorders>
              <w:top w:val="single" w:sz="2" w:space="0" w:color="D9D9E3"/>
              <w:left w:val="single" w:sz="6" w:space="0" w:color="D9D9E3"/>
              <w:bottom w:val="single" w:sz="6" w:space="0" w:color="D9D9E3"/>
              <w:right w:val="single" w:sz="2" w:space="0" w:color="D9D9E3"/>
            </w:tcBorders>
            <w:shd w:val="clear" w:color="auto" w:fill="auto"/>
            <w:hideMark/>
          </w:tcPr>
          <w:p w14:paraId="7AC66078" w14:textId="77777777" w:rsidR="00742DE1" w:rsidRPr="008B29C8" w:rsidRDefault="00742DE1" w:rsidP="00B66085">
            <w:pPr>
              <w:textAlignment w:val="baseline"/>
              <w:rPr>
                <w:rFonts w:cs="Arial"/>
                <w:sz w:val="20"/>
                <w:szCs w:val="20"/>
                <w:lang w:val="en-US"/>
              </w:rPr>
            </w:pPr>
            <w:r w:rsidRPr="008B29C8">
              <w:rPr>
                <w:rFonts w:cs="Arial"/>
                <w:sz w:val="20"/>
                <w:szCs w:val="20"/>
              </w:rPr>
              <w:t>123,722</w:t>
            </w:r>
            <w:r w:rsidRPr="008B29C8">
              <w:rPr>
                <w:rFonts w:cs="Arial"/>
                <w:sz w:val="20"/>
                <w:szCs w:val="20"/>
                <w:lang w:val="en-US"/>
              </w:rPr>
              <w:t> </w:t>
            </w:r>
          </w:p>
        </w:tc>
      </w:tr>
      <w:tr w:rsidR="00742DE1" w:rsidRPr="008B29C8" w14:paraId="01AAC9FF" w14:textId="77777777" w:rsidTr="00B66085">
        <w:trPr>
          <w:trHeight w:val="296"/>
        </w:trPr>
        <w:tc>
          <w:tcPr>
            <w:tcW w:w="2835" w:type="dxa"/>
            <w:tcBorders>
              <w:top w:val="single" w:sz="2" w:space="0" w:color="D9D9E3"/>
              <w:left w:val="single" w:sz="6" w:space="0" w:color="D9D9E3"/>
              <w:bottom w:val="single" w:sz="6" w:space="0" w:color="D9D9E3"/>
              <w:right w:val="single" w:sz="2" w:space="0" w:color="D9D9E3"/>
            </w:tcBorders>
            <w:shd w:val="clear" w:color="auto" w:fill="auto"/>
            <w:hideMark/>
          </w:tcPr>
          <w:p w14:paraId="079DE650" w14:textId="77777777" w:rsidR="00742DE1" w:rsidRPr="008B29C8" w:rsidRDefault="00742DE1" w:rsidP="00B66085">
            <w:pPr>
              <w:textAlignment w:val="baseline"/>
              <w:rPr>
                <w:rFonts w:cs="Arial"/>
                <w:sz w:val="20"/>
                <w:szCs w:val="20"/>
                <w:lang w:val="en-US"/>
              </w:rPr>
            </w:pPr>
            <w:r w:rsidRPr="008B29C8">
              <w:rPr>
                <w:rFonts w:cs="Arial"/>
                <w:sz w:val="20"/>
                <w:szCs w:val="20"/>
              </w:rPr>
              <w:t>Hinksey</w:t>
            </w:r>
            <w:r w:rsidRPr="008B29C8">
              <w:rPr>
                <w:rFonts w:cs="Arial"/>
                <w:sz w:val="20"/>
                <w:szCs w:val="20"/>
                <w:lang w:val="en-US"/>
              </w:rPr>
              <w:t> </w:t>
            </w:r>
          </w:p>
        </w:tc>
        <w:tc>
          <w:tcPr>
            <w:tcW w:w="2409" w:type="dxa"/>
            <w:tcBorders>
              <w:top w:val="single" w:sz="2" w:space="0" w:color="D9D9E3"/>
              <w:left w:val="single" w:sz="6" w:space="0" w:color="D9D9E3"/>
              <w:bottom w:val="single" w:sz="6" w:space="0" w:color="D9D9E3"/>
              <w:right w:val="single" w:sz="2" w:space="0" w:color="D9D9E3"/>
            </w:tcBorders>
            <w:shd w:val="clear" w:color="auto" w:fill="auto"/>
            <w:hideMark/>
          </w:tcPr>
          <w:p w14:paraId="4F99468E" w14:textId="77777777" w:rsidR="00742DE1" w:rsidRPr="008B29C8" w:rsidRDefault="00742DE1" w:rsidP="00B66085">
            <w:pPr>
              <w:textAlignment w:val="baseline"/>
              <w:rPr>
                <w:rFonts w:cs="Arial"/>
                <w:sz w:val="20"/>
                <w:szCs w:val="20"/>
                <w:lang w:val="en-US"/>
              </w:rPr>
            </w:pPr>
            <w:r w:rsidRPr="008B29C8">
              <w:rPr>
                <w:rFonts w:cs="Arial"/>
                <w:sz w:val="20"/>
                <w:szCs w:val="20"/>
              </w:rPr>
              <w:t>34,634</w:t>
            </w:r>
            <w:r w:rsidRPr="008B29C8">
              <w:rPr>
                <w:rFonts w:cs="Arial"/>
                <w:sz w:val="20"/>
                <w:szCs w:val="20"/>
                <w:lang w:val="en-US"/>
              </w:rPr>
              <w:t> </w:t>
            </w:r>
          </w:p>
        </w:tc>
        <w:tc>
          <w:tcPr>
            <w:tcW w:w="1985" w:type="dxa"/>
            <w:tcBorders>
              <w:top w:val="single" w:sz="2" w:space="0" w:color="D9D9E3"/>
              <w:left w:val="single" w:sz="6" w:space="0" w:color="D9D9E3"/>
              <w:bottom w:val="single" w:sz="6" w:space="0" w:color="D9D9E3"/>
              <w:right w:val="single" w:sz="2" w:space="0" w:color="D9D9E3"/>
            </w:tcBorders>
            <w:shd w:val="clear" w:color="auto" w:fill="auto"/>
            <w:hideMark/>
          </w:tcPr>
          <w:p w14:paraId="463497F7" w14:textId="77777777" w:rsidR="00742DE1" w:rsidRPr="008B29C8" w:rsidRDefault="00742DE1" w:rsidP="00B66085">
            <w:pPr>
              <w:textAlignment w:val="baseline"/>
              <w:rPr>
                <w:rFonts w:cs="Arial"/>
                <w:sz w:val="20"/>
                <w:szCs w:val="20"/>
                <w:lang w:val="en-US"/>
              </w:rPr>
            </w:pPr>
            <w:r w:rsidRPr="008B29C8">
              <w:rPr>
                <w:rFonts w:cs="Arial"/>
                <w:sz w:val="20"/>
                <w:szCs w:val="20"/>
              </w:rPr>
              <w:t>62,357</w:t>
            </w:r>
            <w:r w:rsidRPr="008B29C8">
              <w:rPr>
                <w:rFonts w:cs="Arial"/>
                <w:sz w:val="20"/>
                <w:szCs w:val="20"/>
                <w:lang w:val="en-US"/>
              </w:rPr>
              <w:t> </w:t>
            </w:r>
          </w:p>
        </w:tc>
        <w:tc>
          <w:tcPr>
            <w:tcW w:w="2126" w:type="dxa"/>
            <w:tcBorders>
              <w:top w:val="single" w:sz="2" w:space="0" w:color="D9D9E3"/>
              <w:left w:val="single" w:sz="6" w:space="0" w:color="D9D9E3"/>
              <w:bottom w:val="single" w:sz="6" w:space="0" w:color="D9D9E3"/>
              <w:right w:val="single" w:sz="2" w:space="0" w:color="D9D9E3"/>
            </w:tcBorders>
            <w:shd w:val="clear" w:color="auto" w:fill="auto"/>
            <w:hideMark/>
          </w:tcPr>
          <w:p w14:paraId="6AB6CB86" w14:textId="77777777" w:rsidR="00742DE1" w:rsidRPr="008B29C8" w:rsidRDefault="00742DE1" w:rsidP="00B66085">
            <w:pPr>
              <w:textAlignment w:val="baseline"/>
              <w:rPr>
                <w:rFonts w:cs="Arial"/>
                <w:sz w:val="20"/>
                <w:szCs w:val="20"/>
                <w:lang w:val="en-US"/>
              </w:rPr>
            </w:pPr>
            <w:r w:rsidRPr="008B29C8">
              <w:rPr>
                <w:rFonts w:cs="Arial"/>
                <w:sz w:val="20"/>
                <w:szCs w:val="20"/>
              </w:rPr>
              <w:t>63,325</w:t>
            </w:r>
            <w:r w:rsidRPr="008B29C8">
              <w:rPr>
                <w:rFonts w:cs="Arial"/>
                <w:sz w:val="20"/>
                <w:szCs w:val="20"/>
                <w:lang w:val="en-US"/>
              </w:rPr>
              <w:t> </w:t>
            </w:r>
          </w:p>
        </w:tc>
      </w:tr>
      <w:tr w:rsidR="00742DE1" w:rsidRPr="008B29C8" w14:paraId="2B6E9204" w14:textId="77777777" w:rsidTr="00B66085">
        <w:trPr>
          <w:trHeight w:val="296"/>
        </w:trPr>
        <w:tc>
          <w:tcPr>
            <w:tcW w:w="2835" w:type="dxa"/>
            <w:tcBorders>
              <w:top w:val="single" w:sz="2" w:space="0" w:color="D9D9E3"/>
              <w:left w:val="single" w:sz="6" w:space="0" w:color="D9D9E3"/>
              <w:bottom w:val="single" w:sz="6" w:space="0" w:color="D9D9E3"/>
              <w:right w:val="single" w:sz="2" w:space="0" w:color="D9D9E3"/>
            </w:tcBorders>
            <w:shd w:val="clear" w:color="auto" w:fill="auto"/>
            <w:hideMark/>
          </w:tcPr>
          <w:p w14:paraId="1013E7D9" w14:textId="77777777" w:rsidR="00742DE1" w:rsidRPr="008B29C8" w:rsidRDefault="00742DE1" w:rsidP="00B66085">
            <w:pPr>
              <w:textAlignment w:val="baseline"/>
              <w:rPr>
                <w:rFonts w:cs="Arial"/>
                <w:sz w:val="20"/>
                <w:szCs w:val="20"/>
                <w:lang w:val="en-US"/>
              </w:rPr>
            </w:pPr>
            <w:r w:rsidRPr="008B29C8">
              <w:rPr>
                <w:rFonts w:cs="Arial"/>
                <w:sz w:val="20"/>
                <w:szCs w:val="20"/>
              </w:rPr>
              <w:t>Leys</w:t>
            </w:r>
            <w:r w:rsidRPr="008B29C8">
              <w:rPr>
                <w:rFonts w:cs="Arial"/>
                <w:sz w:val="20"/>
                <w:szCs w:val="20"/>
                <w:lang w:val="en-US"/>
              </w:rPr>
              <w:t> </w:t>
            </w:r>
          </w:p>
        </w:tc>
        <w:tc>
          <w:tcPr>
            <w:tcW w:w="2409" w:type="dxa"/>
            <w:tcBorders>
              <w:top w:val="single" w:sz="2" w:space="0" w:color="D9D9E3"/>
              <w:left w:val="single" w:sz="6" w:space="0" w:color="D9D9E3"/>
              <w:bottom w:val="single" w:sz="6" w:space="0" w:color="D9D9E3"/>
              <w:right w:val="single" w:sz="2" w:space="0" w:color="D9D9E3"/>
            </w:tcBorders>
            <w:shd w:val="clear" w:color="auto" w:fill="auto"/>
            <w:hideMark/>
          </w:tcPr>
          <w:p w14:paraId="66B229C0" w14:textId="77777777" w:rsidR="00742DE1" w:rsidRPr="008B29C8" w:rsidRDefault="00742DE1" w:rsidP="00B66085">
            <w:pPr>
              <w:textAlignment w:val="baseline"/>
              <w:rPr>
                <w:rFonts w:cs="Arial"/>
                <w:sz w:val="20"/>
                <w:szCs w:val="20"/>
                <w:lang w:val="en-US"/>
              </w:rPr>
            </w:pPr>
            <w:r w:rsidRPr="008B29C8">
              <w:rPr>
                <w:rFonts w:cs="Arial"/>
                <w:sz w:val="20"/>
                <w:szCs w:val="20"/>
              </w:rPr>
              <w:t>353,792</w:t>
            </w:r>
            <w:r w:rsidRPr="008B29C8">
              <w:rPr>
                <w:rFonts w:cs="Arial"/>
                <w:sz w:val="20"/>
                <w:szCs w:val="20"/>
                <w:lang w:val="en-US"/>
              </w:rPr>
              <w:t> </w:t>
            </w:r>
          </w:p>
        </w:tc>
        <w:tc>
          <w:tcPr>
            <w:tcW w:w="1985" w:type="dxa"/>
            <w:tcBorders>
              <w:top w:val="single" w:sz="2" w:space="0" w:color="D9D9E3"/>
              <w:left w:val="single" w:sz="6" w:space="0" w:color="D9D9E3"/>
              <w:bottom w:val="single" w:sz="6" w:space="0" w:color="D9D9E3"/>
              <w:right w:val="single" w:sz="2" w:space="0" w:color="D9D9E3"/>
            </w:tcBorders>
            <w:shd w:val="clear" w:color="auto" w:fill="auto"/>
            <w:hideMark/>
          </w:tcPr>
          <w:p w14:paraId="5BF8AB40" w14:textId="77777777" w:rsidR="00742DE1" w:rsidRPr="008B29C8" w:rsidRDefault="00742DE1" w:rsidP="00B66085">
            <w:pPr>
              <w:textAlignment w:val="baseline"/>
              <w:rPr>
                <w:rFonts w:cs="Arial"/>
                <w:sz w:val="20"/>
                <w:szCs w:val="20"/>
                <w:lang w:val="en-US"/>
              </w:rPr>
            </w:pPr>
            <w:r w:rsidRPr="008B29C8">
              <w:rPr>
                <w:rFonts w:cs="Arial"/>
                <w:sz w:val="20"/>
                <w:szCs w:val="20"/>
              </w:rPr>
              <w:t>414,172</w:t>
            </w:r>
            <w:r w:rsidRPr="008B29C8">
              <w:rPr>
                <w:rFonts w:cs="Arial"/>
                <w:sz w:val="20"/>
                <w:szCs w:val="20"/>
                <w:lang w:val="en-US"/>
              </w:rPr>
              <w:t> </w:t>
            </w:r>
          </w:p>
        </w:tc>
        <w:tc>
          <w:tcPr>
            <w:tcW w:w="2126" w:type="dxa"/>
            <w:tcBorders>
              <w:top w:val="single" w:sz="2" w:space="0" w:color="D9D9E3"/>
              <w:left w:val="single" w:sz="6" w:space="0" w:color="D9D9E3"/>
              <w:bottom w:val="single" w:sz="6" w:space="0" w:color="D9D9E3"/>
              <w:right w:val="single" w:sz="2" w:space="0" w:color="D9D9E3"/>
            </w:tcBorders>
            <w:shd w:val="clear" w:color="auto" w:fill="auto"/>
            <w:hideMark/>
          </w:tcPr>
          <w:p w14:paraId="6DCEA3CB" w14:textId="77777777" w:rsidR="00742DE1" w:rsidRPr="008B29C8" w:rsidRDefault="00742DE1" w:rsidP="00B66085">
            <w:pPr>
              <w:textAlignment w:val="baseline"/>
              <w:rPr>
                <w:rFonts w:cs="Arial"/>
                <w:sz w:val="20"/>
                <w:szCs w:val="20"/>
                <w:lang w:val="en-US"/>
              </w:rPr>
            </w:pPr>
            <w:r w:rsidRPr="008B29C8">
              <w:rPr>
                <w:rFonts w:cs="Arial"/>
                <w:sz w:val="20"/>
                <w:szCs w:val="20"/>
              </w:rPr>
              <w:t>125,298</w:t>
            </w:r>
            <w:r w:rsidRPr="008B29C8">
              <w:rPr>
                <w:rFonts w:cs="Arial"/>
                <w:sz w:val="20"/>
                <w:szCs w:val="20"/>
                <w:lang w:val="en-US"/>
              </w:rPr>
              <w:t> </w:t>
            </w:r>
          </w:p>
        </w:tc>
      </w:tr>
      <w:tr w:rsidR="00742DE1" w:rsidRPr="008B29C8" w14:paraId="62F70A7B" w14:textId="77777777" w:rsidTr="00B66085">
        <w:trPr>
          <w:trHeight w:val="296"/>
        </w:trPr>
        <w:tc>
          <w:tcPr>
            <w:tcW w:w="2835" w:type="dxa"/>
            <w:tcBorders>
              <w:top w:val="single" w:sz="2" w:space="0" w:color="D9D9E3"/>
              <w:left w:val="single" w:sz="6" w:space="0" w:color="D9D9E3"/>
              <w:bottom w:val="single" w:sz="6" w:space="0" w:color="D9D9E3"/>
              <w:right w:val="single" w:sz="2" w:space="0" w:color="D9D9E3"/>
            </w:tcBorders>
            <w:shd w:val="clear" w:color="auto" w:fill="auto"/>
            <w:hideMark/>
          </w:tcPr>
          <w:p w14:paraId="4BE47340" w14:textId="77777777" w:rsidR="00742DE1" w:rsidRPr="008B29C8" w:rsidRDefault="00742DE1" w:rsidP="00B66085">
            <w:pPr>
              <w:textAlignment w:val="baseline"/>
              <w:rPr>
                <w:rFonts w:cs="Arial"/>
                <w:sz w:val="20"/>
                <w:szCs w:val="20"/>
                <w:lang w:val="en-US"/>
              </w:rPr>
            </w:pPr>
            <w:r w:rsidRPr="008B29C8">
              <w:rPr>
                <w:rFonts w:cs="Arial"/>
                <w:sz w:val="20"/>
                <w:szCs w:val="20"/>
              </w:rPr>
              <w:t>Oxford Ice Rink</w:t>
            </w:r>
            <w:r w:rsidRPr="008B29C8">
              <w:rPr>
                <w:rFonts w:cs="Arial"/>
                <w:sz w:val="20"/>
                <w:szCs w:val="20"/>
                <w:lang w:val="en-US"/>
              </w:rPr>
              <w:t> </w:t>
            </w:r>
          </w:p>
        </w:tc>
        <w:tc>
          <w:tcPr>
            <w:tcW w:w="2409" w:type="dxa"/>
            <w:tcBorders>
              <w:top w:val="single" w:sz="2" w:space="0" w:color="D9D9E3"/>
              <w:left w:val="single" w:sz="6" w:space="0" w:color="D9D9E3"/>
              <w:bottom w:val="single" w:sz="6" w:space="0" w:color="D9D9E3"/>
              <w:right w:val="single" w:sz="2" w:space="0" w:color="D9D9E3"/>
            </w:tcBorders>
            <w:shd w:val="clear" w:color="auto" w:fill="auto"/>
            <w:hideMark/>
          </w:tcPr>
          <w:p w14:paraId="16264940" w14:textId="77777777" w:rsidR="00742DE1" w:rsidRPr="008B29C8" w:rsidRDefault="00742DE1" w:rsidP="00B66085">
            <w:pPr>
              <w:textAlignment w:val="baseline"/>
              <w:rPr>
                <w:rFonts w:cs="Arial"/>
                <w:sz w:val="20"/>
                <w:szCs w:val="20"/>
                <w:lang w:val="en-US"/>
              </w:rPr>
            </w:pPr>
            <w:r w:rsidRPr="008B29C8">
              <w:rPr>
                <w:rFonts w:cs="Arial"/>
                <w:sz w:val="20"/>
                <w:szCs w:val="20"/>
              </w:rPr>
              <w:t>178,285</w:t>
            </w:r>
            <w:r w:rsidRPr="008B29C8">
              <w:rPr>
                <w:rFonts w:cs="Arial"/>
                <w:sz w:val="20"/>
                <w:szCs w:val="20"/>
                <w:lang w:val="en-US"/>
              </w:rPr>
              <w:t> </w:t>
            </w:r>
          </w:p>
        </w:tc>
        <w:tc>
          <w:tcPr>
            <w:tcW w:w="1985" w:type="dxa"/>
            <w:tcBorders>
              <w:top w:val="single" w:sz="2" w:space="0" w:color="D9D9E3"/>
              <w:left w:val="single" w:sz="6" w:space="0" w:color="D9D9E3"/>
              <w:bottom w:val="single" w:sz="6" w:space="0" w:color="D9D9E3"/>
              <w:right w:val="single" w:sz="2" w:space="0" w:color="D9D9E3"/>
            </w:tcBorders>
            <w:shd w:val="clear" w:color="auto" w:fill="auto"/>
            <w:hideMark/>
          </w:tcPr>
          <w:p w14:paraId="55D4DE69" w14:textId="77777777" w:rsidR="00742DE1" w:rsidRPr="008B29C8" w:rsidRDefault="00742DE1" w:rsidP="00B66085">
            <w:pPr>
              <w:textAlignment w:val="baseline"/>
              <w:rPr>
                <w:rFonts w:cs="Arial"/>
                <w:sz w:val="20"/>
                <w:szCs w:val="20"/>
                <w:lang w:val="en-US"/>
              </w:rPr>
            </w:pPr>
            <w:r w:rsidRPr="008B29C8">
              <w:rPr>
                <w:rFonts w:cs="Arial"/>
                <w:sz w:val="20"/>
                <w:szCs w:val="20"/>
              </w:rPr>
              <w:t>191,830</w:t>
            </w:r>
            <w:r w:rsidRPr="008B29C8">
              <w:rPr>
                <w:rFonts w:cs="Arial"/>
                <w:sz w:val="20"/>
                <w:szCs w:val="20"/>
                <w:lang w:val="en-US"/>
              </w:rPr>
              <w:t> </w:t>
            </w:r>
          </w:p>
        </w:tc>
        <w:tc>
          <w:tcPr>
            <w:tcW w:w="2126" w:type="dxa"/>
            <w:tcBorders>
              <w:top w:val="single" w:sz="2" w:space="0" w:color="D9D9E3"/>
              <w:left w:val="single" w:sz="6" w:space="0" w:color="D9D9E3"/>
              <w:bottom w:val="single" w:sz="6" w:space="0" w:color="D9D9E3"/>
              <w:right w:val="single" w:sz="2" w:space="0" w:color="D9D9E3"/>
            </w:tcBorders>
            <w:shd w:val="clear" w:color="auto" w:fill="auto"/>
            <w:hideMark/>
          </w:tcPr>
          <w:p w14:paraId="62654AE4" w14:textId="77777777" w:rsidR="00742DE1" w:rsidRPr="008B29C8" w:rsidRDefault="00742DE1" w:rsidP="00B66085">
            <w:pPr>
              <w:textAlignment w:val="baseline"/>
              <w:rPr>
                <w:rFonts w:cs="Arial"/>
                <w:sz w:val="20"/>
                <w:szCs w:val="20"/>
                <w:lang w:val="en-US"/>
              </w:rPr>
            </w:pPr>
            <w:r w:rsidRPr="008B29C8">
              <w:rPr>
                <w:rFonts w:cs="Arial"/>
                <w:sz w:val="20"/>
                <w:szCs w:val="20"/>
              </w:rPr>
              <w:t>126,107</w:t>
            </w:r>
            <w:r w:rsidRPr="008B29C8">
              <w:rPr>
                <w:rFonts w:cs="Arial"/>
                <w:sz w:val="20"/>
                <w:szCs w:val="20"/>
                <w:lang w:val="en-US"/>
              </w:rPr>
              <w:t> </w:t>
            </w:r>
          </w:p>
        </w:tc>
      </w:tr>
      <w:tr w:rsidR="00742DE1" w:rsidRPr="008B29C8" w14:paraId="2F8002AB" w14:textId="77777777" w:rsidTr="00B66085">
        <w:trPr>
          <w:trHeight w:val="296"/>
        </w:trPr>
        <w:tc>
          <w:tcPr>
            <w:tcW w:w="2835" w:type="dxa"/>
            <w:tcBorders>
              <w:top w:val="single" w:sz="2" w:space="0" w:color="D9D9E3"/>
              <w:left w:val="single" w:sz="6" w:space="0" w:color="D9D9E3"/>
              <w:bottom w:val="single" w:sz="6" w:space="0" w:color="D9D9E3"/>
              <w:right w:val="single" w:sz="2" w:space="0" w:color="D9D9E3"/>
            </w:tcBorders>
            <w:shd w:val="clear" w:color="auto" w:fill="auto"/>
            <w:hideMark/>
          </w:tcPr>
          <w:p w14:paraId="3A5A01FA" w14:textId="77777777" w:rsidR="00742DE1" w:rsidRPr="008B29C8" w:rsidRDefault="00742DE1" w:rsidP="00B66085">
            <w:pPr>
              <w:textAlignment w:val="baseline"/>
              <w:rPr>
                <w:rFonts w:cs="Arial"/>
                <w:sz w:val="20"/>
                <w:szCs w:val="20"/>
                <w:lang w:val="en-US"/>
              </w:rPr>
            </w:pPr>
            <w:r w:rsidRPr="008B29C8">
              <w:rPr>
                <w:rFonts w:cs="Arial"/>
                <w:b/>
                <w:bCs/>
                <w:sz w:val="20"/>
                <w:szCs w:val="20"/>
              </w:rPr>
              <w:t>TOTAL</w:t>
            </w:r>
            <w:r w:rsidRPr="008B29C8">
              <w:rPr>
                <w:rFonts w:cs="Arial"/>
                <w:sz w:val="20"/>
                <w:szCs w:val="20"/>
                <w:lang w:val="en-US"/>
              </w:rPr>
              <w:t> </w:t>
            </w:r>
          </w:p>
        </w:tc>
        <w:tc>
          <w:tcPr>
            <w:tcW w:w="2409" w:type="dxa"/>
            <w:tcBorders>
              <w:top w:val="single" w:sz="2" w:space="0" w:color="D9D9E3"/>
              <w:left w:val="single" w:sz="6" w:space="0" w:color="D9D9E3"/>
              <w:bottom w:val="single" w:sz="6" w:space="0" w:color="D9D9E3"/>
              <w:right w:val="single" w:sz="2" w:space="0" w:color="D9D9E3"/>
            </w:tcBorders>
            <w:shd w:val="clear" w:color="auto" w:fill="auto"/>
            <w:hideMark/>
          </w:tcPr>
          <w:p w14:paraId="2A0A9FE0" w14:textId="77777777" w:rsidR="00742DE1" w:rsidRPr="008B29C8" w:rsidRDefault="00742DE1" w:rsidP="00B66085">
            <w:pPr>
              <w:textAlignment w:val="baseline"/>
              <w:rPr>
                <w:rFonts w:cs="Arial"/>
                <w:sz w:val="20"/>
                <w:szCs w:val="20"/>
                <w:lang w:val="en-US"/>
              </w:rPr>
            </w:pPr>
            <w:r w:rsidRPr="008B29C8">
              <w:rPr>
                <w:rFonts w:cs="Arial"/>
                <w:b/>
                <w:bCs/>
                <w:sz w:val="20"/>
                <w:szCs w:val="20"/>
              </w:rPr>
              <w:t>889,243</w:t>
            </w:r>
            <w:r w:rsidRPr="008B29C8">
              <w:rPr>
                <w:rFonts w:cs="Arial"/>
                <w:sz w:val="20"/>
                <w:szCs w:val="20"/>
                <w:lang w:val="en-US"/>
              </w:rPr>
              <w:t> </w:t>
            </w:r>
          </w:p>
        </w:tc>
        <w:tc>
          <w:tcPr>
            <w:tcW w:w="1985" w:type="dxa"/>
            <w:tcBorders>
              <w:top w:val="single" w:sz="2" w:space="0" w:color="D9D9E3"/>
              <w:left w:val="single" w:sz="6" w:space="0" w:color="D9D9E3"/>
              <w:bottom w:val="single" w:sz="6" w:space="0" w:color="D9D9E3"/>
              <w:right w:val="single" w:sz="2" w:space="0" w:color="D9D9E3"/>
            </w:tcBorders>
            <w:shd w:val="clear" w:color="auto" w:fill="auto"/>
            <w:hideMark/>
          </w:tcPr>
          <w:p w14:paraId="74A415DC" w14:textId="77777777" w:rsidR="00742DE1" w:rsidRPr="008B29C8" w:rsidRDefault="00742DE1" w:rsidP="00B66085">
            <w:pPr>
              <w:textAlignment w:val="baseline"/>
              <w:rPr>
                <w:rFonts w:cs="Arial"/>
                <w:sz w:val="20"/>
                <w:szCs w:val="20"/>
                <w:lang w:val="en-US"/>
              </w:rPr>
            </w:pPr>
            <w:r w:rsidRPr="008B29C8">
              <w:rPr>
                <w:rFonts w:cs="Arial"/>
                <w:b/>
                <w:bCs/>
                <w:sz w:val="20"/>
                <w:szCs w:val="20"/>
              </w:rPr>
              <w:t>1,445,813</w:t>
            </w:r>
            <w:r w:rsidRPr="008B29C8">
              <w:rPr>
                <w:rFonts w:cs="Arial"/>
                <w:sz w:val="20"/>
                <w:szCs w:val="20"/>
                <w:lang w:val="en-US"/>
              </w:rPr>
              <w:t> </w:t>
            </w:r>
          </w:p>
        </w:tc>
        <w:tc>
          <w:tcPr>
            <w:tcW w:w="2126" w:type="dxa"/>
            <w:tcBorders>
              <w:top w:val="single" w:sz="2" w:space="0" w:color="D9D9E3"/>
              <w:left w:val="single" w:sz="6" w:space="0" w:color="D9D9E3"/>
              <w:bottom w:val="single" w:sz="6" w:space="0" w:color="D9D9E3"/>
              <w:right w:val="single" w:sz="2" w:space="0" w:color="D9D9E3"/>
            </w:tcBorders>
            <w:shd w:val="clear" w:color="auto" w:fill="auto"/>
            <w:hideMark/>
          </w:tcPr>
          <w:p w14:paraId="55E78FAF" w14:textId="77777777" w:rsidR="00742DE1" w:rsidRPr="008B29C8" w:rsidRDefault="00742DE1" w:rsidP="00B66085">
            <w:pPr>
              <w:textAlignment w:val="baseline"/>
              <w:rPr>
                <w:rFonts w:cs="Arial"/>
                <w:sz w:val="20"/>
                <w:szCs w:val="20"/>
                <w:lang w:val="en-US"/>
              </w:rPr>
            </w:pPr>
            <w:r w:rsidRPr="008B29C8">
              <w:rPr>
                <w:rFonts w:cs="Arial"/>
                <w:b/>
                <w:bCs/>
                <w:sz w:val="20"/>
                <w:szCs w:val="20"/>
              </w:rPr>
              <w:t>516,077</w:t>
            </w:r>
            <w:r w:rsidRPr="008B29C8">
              <w:rPr>
                <w:rFonts w:cs="Arial"/>
                <w:sz w:val="20"/>
                <w:szCs w:val="20"/>
                <w:lang w:val="en-US"/>
              </w:rPr>
              <w:t> </w:t>
            </w:r>
          </w:p>
        </w:tc>
      </w:tr>
    </w:tbl>
    <w:p w14:paraId="57D1E910" w14:textId="01A02487" w:rsidR="00F07734" w:rsidRDefault="00F07734" w:rsidP="00742DE1">
      <w:pPr>
        <w:pStyle w:val="ListParagraph"/>
        <w:numPr>
          <w:ilvl w:val="0"/>
          <w:numId w:val="0"/>
        </w:numPr>
        <w:ind w:left="360"/>
      </w:pPr>
    </w:p>
    <w:p w14:paraId="68DEE2D0" w14:textId="77777777" w:rsidR="00EC608E" w:rsidRPr="00A56420" w:rsidRDefault="00EC608E" w:rsidP="00430B64">
      <w:pPr>
        <w:pStyle w:val="ListParagraph"/>
        <w:numPr>
          <w:ilvl w:val="0"/>
          <w:numId w:val="7"/>
        </w:numPr>
        <w:tabs>
          <w:tab w:val="clear" w:pos="426"/>
        </w:tabs>
        <w:ind w:left="426" w:hanging="426"/>
        <w:jc w:val="both"/>
        <w:textAlignment w:val="baseline"/>
        <w:rPr>
          <w:rFonts w:cs="Arial"/>
          <w:lang w:val="en-US"/>
        </w:rPr>
      </w:pPr>
      <w:r>
        <w:rPr>
          <w:rFonts w:cs="Arial"/>
        </w:rPr>
        <w:t>We have also experienced corresponding reductions in levels of c</w:t>
      </w:r>
      <w:r w:rsidRPr="008B29C8">
        <w:rPr>
          <w:rFonts w:cs="Arial"/>
        </w:rPr>
        <w:t xml:space="preserve">ustomers </w:t>
      </w:r>
      <w:r>
        <w:rPr>
          <w:rFonts w:cs="Arial"/>
        </w:rPr>
        <w:t xml:space="preserve">satisfaction </w:t>
      </w:r>
      <w:r w:rsidRPr="008B29C8">
        <w:rPr>
          <w:rFonts w:cs="Arial"/>
        </w:rPr>
        <w:t xml:space="preserve">with </w:t>
      </w:r>
      <w:r>
        <w:rPr>
          <w:rFonts w:cs="Arial"/>
        </w:rPr>
        <w:t xml:space="preserve">the quality of leisure </w:t>
      </w:r>
      <w:r w:rsidRPr="008B29C8">
        <w:rPr>
          <w:rFonts w:cs="Arial"/>
        </w:rPr>
        <w:t>service</w:t>
      </w:r>
      <w:r>
        <w:rPr>
          <w:rFonts w:cs="Arial"/>
        </w:rPr>
        <w:t>s, and a rise in d</w:t>
      </w:r>
      <w:r w:rsidRPr="008B29C8">
        <w:rPr>
          <w:rFonts w:cs="Arial"/>
        </w:rPr>
        <w:t xml:space="preserve">issatisfaction </w:t>
      </w:r>
      <w:r>
        <w:rPr>
          <w:rFonts w:cs="Arial"/>
        </w:rPr>
        <w:t>with the</w:t>
      </w:r>
      <w:r w:rsidRPr="008B29C8">
        <w:rPr>
          <w:rFonts w:cs="Arial"/>
        </w:rPr>
        <w:t xml:space="preserve"> </w:t>
      </w:r>
      <w:r>
        <w:rPr>
          <w:rFonts w:cs="Arial"/>
        </w:rPr>
        <w:t xml:space="preserve">quality of </w:t>
      </w:r>
      <w:r w:rsidRPr="008B29C8">
        <w:rPr>
          <w:rFonts w:cs="Arial"/>
        </w:rPr>
        <w:t xml:space="preserve">maintenance and </w:t>
      </w:r>
      <w:r>
        <w:rPr>
          <w:rFonts w:cs="Arial"/>
        </w:rPr>
        <w:t xml:space="preserve">poor </w:t>
      </w:r>
      <w:r w:rsidRPr="008B29C8">
        <w:rPr>
          <w:rFonts w:cs="Arial"/>
        </w:rPr>
        <w:t>availability</w:t>
      </w:r>
      <w:r>
        <w:rPr>
          <w:rFonts w:cs="Arial"/>
        </w:rPr>
        <w:t xml:space="preserve"> of sessions</w:t>
      </w:r>
      <w:r w:rsidRPr="008B29C8">
        <w:rPr>
          <w:rFonts w:cs="Arial"/>
        </w:rPr>
        <w:t>.</w:t>
      </w:r>
    </w:p>
    <w:p w14:paraId="56C4DECF" w14:textId="4C52D0D5" w:rsidR="000F142B" w:rsidRPr="0023686C" w:rsidRDefault="000F142B" w:rsidP="00430B64">
      <w:pPr>
        <w:pStyle w:val="ListParagraph"/>
        <w:numPr>
          <w:ilvl w:val="0"/>
          <w:numId w:val="7"/>
        </w:numPr>
        <w:shd w:val="clear" w:color="auto" w:fill="FFFFFF" w:themeFill="background1"/>
        <w:tabs>
          <w:tab w:val="clear" w:pos="426"/>
        </w:tabs>
        <w:spacing w:after="0"/>
        <w:ind w:left="426" w:hanging="426"/>
        <w:jc w:val="both"/>
        <w:textAlignment w:val="baseline"/>
        <w:rPr>
          <w:color w:val="000000" w:themeColor="text1"/>
          <w:bdr w:val="none" w:sz="0" w:space="0" w:color="auto" w:frame="1"/>
        </w:rPr>
      </w:pPr>
      <w:r>
        <w:rPr>
          <w:rFonts w:cs="Arial"/>
          <w:bdr w:val="none" w:sz="0" w:space="0" w:color="auto" w:frame="1"/>
        </w:rPr>
        <w:t xml:space="preserve">In response to </w:t>
      </w:r>
      <w:r w:rsidRPr="008B29C8">
        <w:rPr>
          <w:rFonts w:cs="Arial"/>
          <w:bdr w:val="none" w:sz="0" w:space="0" w:color="auto" w:frame="1"/>
        </w:rPr>
        <w:t>reducing standards, increasing cost</w:t>
      </w:r>
      <w:r>
        <w:rPr>
          <w:rFonts w:cs="Arial"/>
          <w:bdr w:val="none" w:sz="0" w:space="0" w:color="auto" w:frame="1"/>
        </w:rPr>
        <w:t>s,</w:t>
      </w:r>
      <w:r w:rsidRPr="008B29C8">
        <w:rPr>
          <w:rFonts w:cs="Arial"/>
          <w:bdr w:val="none" w:sz="0" w:space="0" w:color="auto" w:frame="1"/>
        </w:rPr>
        <w:t xml:space="preserve"> and deepening inequalities</w:t>
      </w:r>
      <w:r>
        <w:rPr>
          <w:rFonts w:cs="Arial"/>
          <w:bdr w:val="none" w:sz="0" w:space="0" w:color="auto" w:frame="1"/>
        </w:rPr>
        <w:t xml:space="preserve"> </w:t>
      </w:r>
      <w:r w:rsidRPr="008B29C8">
        <w:rPr>
          <w:rFonts w:cs="Arial"/>
          <w:bdr w:val="none" w:sz="0" w:space="0" w:color="auto" w:frame="1"/>
        </w:rPr>
        <w:t xml:space="preserve">the </w:t>
      </w:r>
      <w:r>
        <w:rPr>
          <w:rFonts w:cs="Arial"/>
          <w:bdr w:val="none" w:sz="0" w:space="0" w:color="auto" w:frame="1"/>
        </w:rPr>
        <w:t>C</w:t>
      </w:r>
      <w:r w:rsidRPr="008B29C8">
        <w:rPr>
          <w:rFonts w:cs="Arial"/>
          <w:bdr w:val="none" w:sz="0" w:space="0" w:color="auto" w:frame="1"/>
        </w:rPr>
        <w:t>ouncil</w:t>
      </w:r>
      <w:r w:rsidRPr="008B29C8" w:rsidDel="00992C23">
        <w:rPr>
          <w:rFonts w:cs="Arial"/>
          <w:bdr w:val="none" w:sz="0" w:space="0" w:color="auto" w:frame="1"/>
        </w:rPr>
        <w:t xml:space="preserve"> </w:t>
      </w:r>
      <w:r>
        <w:rPr>
          <w:rFonts w:cs="Arial"/>
          <w:bdr w:val="none" w:sz="0" w:space="0" w:color="auto" w:frame="1"/>
        </w:rPr>
        <w:t>develop</w:t>
      </w:r>
      <w:r w:rsidR="0002366D">
        <w:rPr>
          <w:rFonts w:cs="Arial"/>
          <w:bdr w:val="none" w:sz="0" w:space="0" w:color="auto" w:frame="1"/>
        </w:rPr>
        <w:t>ed</w:t>
      </w:r>
      <w:r>
        <w:rPr>
          <w:rFonts w:cs="Arial"/>
          <w:bdr w:val="none" w:sz="0" w:space="0" w:color="auto" w:frame="1"/>
        </w:rPr>
        <w:t xml:space="preserve"> </w:t>
      </w:r>
      <w:r w:rsidRPr="008B29C8">
        <w:rPr>
          <w:rFonts w:cs="Arial"/>
          <w:bdr w:val="none" w:sz="0" w:space="0" w:color="auto" w:frame="1"/>
        </w:rPr>
        <w:t xml:space="preserve">a new approach to leisure </w:t>
      </w:r>
      <w:r>
        <w:rPr>
          <w:rFonts w:cs="Arial"/>
          <w:bdr w:val="none" w:sz="0" w:space="0" w:color="auto" w:frame="1"/>
        </w:rPr>
        <w:t xml:space="preserve">provision </w:t>
      </w:r>
      <w:r w:rsidRPr="008B29C8">
        <w:rPr>
          <w:rFonts w:cs="Arial"/>
          <w:bdr w:val="none" w:sz="0" w:space="0" w:color="auto" w:frame="1"/>
        </w:rPr>
        <w:t xml:space="preserve">which </w:t>
      </w:r>
      <w:r>
        <w:rPr>
          <w:rFonts w:cs="Arial"/>
          <w:bdr w:val="none" w:sz="0" w:space="0" w:color="auto" w:frame="1"/>
        </w:rPr>
        <w:t>has sought to integrate</w:t>
      </w:r>
      <w:r w:rsidDel="00992C23">
        <w:rPr>
          <w:rFonts w:cs="Arial"/>
          <w:bdr w:val="none" w:sz="0" w:space="0" w:color="auto" w:frame="1"/>
        </w:rPr>
        <w:t xml:space="preserve"> </w:t>
      </w:r>
      <w:r>
        <w:rPr>
          <w:rFonts w:cs="Arial"/>
          <w:bdr w:val="none" w:sz="0" w:space="0" w:color="auto" w:frame="1"/>
        </w:rPr>
        <w:t xml:space="preserve">provision with social and health responses </w:t>
      </w:r>
      <w:r w:rsidRPr="008B29C8">
        <w:rPr>
          <w:rFonts w:cs="Arial"/>
          <w:bdr w:val="none" w:sz="0" w:space="0" w:color="auto" w:frame="1"/>
        </w:rPr>
        <w:t>to tackl</w:t>
      </w:r>
      <w:r>
        <w:rPr>
          <w:rFonts w:cs="Arial"/>
          <w:bdr w:val="none" w:sz="0" w:space="0" w:color="auto" w:frame="1"/>
        </w:rPr>
        <w:t>ing</w:t>
      </w:r>
      <w:r w:rsidRPr="008B29C8">
        <w:rPr>
          <w:rFonts w:cs="Arial"/>
          <w:bdr w:val="none" w:sz="0" w:space="0" w:color="auto" w:frame="1"/>
        </w:rPr>
        <w:t xml:space="preserve"> inequalities.</w:t>
      </w:r>
      <w:r w:rsidDel="00AF1728">
        <w:rPr>
          <w:rFonts w:cs="Arial"/>
        </w:rPr>
        <w:t xml:space="preserve"> </w:t>
      </w:r>
      <w:r w:rsidRPr="00356BFB">
        <w:rPr>
          <w:bdr w:val="none" w:sz="0" w:space="0" w:color="auto" w:frame="1"/>
        </w:rPr>
        <w:t>This</w:t>
      </w:r>
      <w:r w:rsidRPr="00356BFB" w:rsidDel="002F2A98">
        <w:rPr>
          <w:bdr w:val="none" w:sz="0" w:space="0" w:color="auto" w:frame="1"/>
        </w:rPr>
        <w:t xml:space="preserve"> </w:t>
      </w:r>
      <w:r w:rsidRPr="00356BFB">
        <w:rPr>
          <w:bdr w:val="none" w:sz="0" w:space="0" w:color="auto" w:frame="1"/>
        </w:rPr>
        <w:t xml:space="preserve">joined up way of working is central to </w:t>
      </w:r>
      <w:hyperlink r:id="rId11" w:history="1">
        <w:r w:rsidRPr="00356BFB">
          <w:rPr>
            <w:rStyle w:val="Hyperlink"/>
            <w:rFonts w:cs="Arial"/>
            <w:bdr w:val="none" w:sz="0" w:space="0" w:color="auto" w:frame="1"/>
          </w:rPr>
          <w:t>Oxford’s Thriving Communities Strategy</w:t>
        </w:r>
      </w:hyperlink>
      <w:r w:rsidRPr="00356BFB">
        <w:rPr>
          <w:bdr w:val="none" w:sz="0" w:space="0" w:color="auto" w:frame="1"/>
        </w:rPr>
        <w:t>, which was adopted by Council in January 2023. The Strategy explains the value of leisure, the broader role it plays, and the challenges we face in delivering high quality leisure services</w:t>
      </w:r>
      <w:r>
        <w:rPr>
          <w:bdr w:val="none" w:sz="0" w:space="0" w:color="auto" w:frame="1"/>
        </w:rPr>
        <w:t xml:space="preserve"> and </w:t>
      </w:r>
      <w:r w:rsidRPr="00356BFB">
        <w:rPr>
          <w:bdr w:val="none" w:sz="0" w:space="0" w:color="auto" w:frame="1"/>
        </w:rPr>
        <w:t>a range of actions</w:t>
      </w:r>
      <w:r>
        <w:rPr>
          <w:bdr w:val="none" w:sz="0" w:space="0" w:color="auto" w:frame="1"/>
        </w:rPr>
        <w:t xml:space="preserve"> for combatting them</w:t>
      </w:r>
      <w:r w:rsidRPr="00356BFB">
        <w:rPr>
          <w:bdr w:val="none" w:sz="0" w:space="0" w:color="auto" w:frame="1"/>
        </w:rPr>
        <w:t>, including:</w:t>
      </w:r>
    </w:p>
    <w:p w14:paraId="254CCE54" w14:textId="6E27859C" w:rsidR="00266446" w:rsidRPr="009071E7" w:rsidRDefault="00266446" w:rsidP="00430B64">
      <w:pPr>
        <w:pStyle w:val="ListParagraph"/>
        <w:numPr>
          <w:ilvl w:val="0"/>
          <w:numId w:val="8"/>
        </w:numPr>
        <w:shd w:val="clear" w:color="auto" w:fill="FFFFFF" w:themeFill="background1"/>
        <w:tabs>
          <w:tab w:val="clear" w:pos="426"/>
        </w:tabs>
        <w:spacing w:before="120" w:after="0"/>
        <w:jc w:val="both"/>
        <w:textAlignment w:val="baseline"/>
        <w:rPr>
          <w:rFonts w:cs="Arial"/>
          <w:bdr w:val="none" w:sz="0" w:space="0" w:color="auto" w:frame="1"/>
        </w:rPr>
      </w:pPr>
      <w:r>
        <w:rPr>
          <w:rFonts w:cs="Arial"/>
        </w:rPr>
        <w:t>W</w:t>
      </w:r>
      <w:r>
        <w:rPr>
          <w:rFonts w:cs="Arial"/>
        </w:rPr>
        <w:t xml:space="preserve">orking </w:t>
      </w:r>
      <w:r w:rsidRPr="009071E7">
        <w:rPr>
          <w:rFonts w:cs="Arial"/>
        </w:rPr>
        <w:t xml:space="preserve">with </w:t>
      </w:r>
      <w:r w:rsidRPr="2B74C623">
        <w:rPr>
          <w:rFonts w:cs="Arial"/>
        </w:rPr>
        <w:t>public</w:t>
      </w:r>
      <w:r>
        <w:rPr>
          <w:rFonts w:cs="Arial"/>
        </w:rPr>
        <w:t xml:space="preserve"> health services, </w:t>
      </w:r>
      <w:r w:rsidRPr="009071E7">
        <w:rPr>
          <w:rFonts w:cs="Arial"/>
        </w:rPr>
        <w:t xml:space="preserve">the NHS </w:t>
      </w:r>
      <w:r>
        <w:rPr>
          <w:rFonts w:cs="Arial"/>
        </w:rPr>
        <w:t xml:space="preserve">and other anchor organisations to ensure </w:t>
      </w:r>
      <w:r w:rsidRPr="009071E7">
        <w:rPr>
          <w:rFonts w:cs="Arial"/>
        </w:rPr>
        <w:t>Oxford’s leisure centres</w:t>
      </w:r>
      <w:r w:rsidRPr="00432BC5">
        <w:rPr>
          <w:rFonts w:cs="Arial"/>
        </w:rPr>
        <w:t xml:space="preserve"> </w:t>
      </w:r>
      <w:r w:rsidRPr="009071E7">
        <w:rPr>
          <w:rFonts w:cs="Arial"/>
        </w:rPr>
        <w:t>play a greater role in tackling health inequalities</w:t>
      </w:r>
      <w:r w:rsidRPr="2B74C623">
        <w:rPr>
          <w:rFonts w:cs="Arial"/>
        </w:rPr>
        <w:t>;</w:t>
      </w:r>
    </w:p>
    <w:p w14:paraId="44BEE26C" w14:textId="398C2685" w:rsidR="00C83BE0" w:rsidRPr="009071E7" w:rsidRDefault="00B52E83" w:rsidP="00430B64">
      <w:pPr>
        <w:pStyle w:val="ListParagraph"/>
        <w:numPr>
          <w:ilvl w:val="0"/>
          <w:numId w:val="8"/>
        </w:numPr>
        <w:shd w:val="clear" w:color="auto" w:fill="FFFFFF" w:themeFill="background1"/>
        <w:tabs>
          <w:tab w:val="clear" w:pos="426"/>
        </w:tabs>
        <w:spacing w:before="120" w:after="0"/>
        <w:jc w:val="both"/>
        <w:textAlignment w:val="baseline"/>
        <w:rPr>
          <w:rFonts w:cs="Arial"/>
          <w:bdr w:val="none" w:sz="0" w:space="0" w:color="auto" w:frame="1"/>
        </w:rPr>
      </w:pPr>
      <w:r>
        <w:rPr>
          <w:rFonts w:cs="Arial"/>
        </w:rPr>
        <w:t>R</w:t>
      </w:r>
      <w:r w:rsidR="00C83BE0" w:rsidRPr="009071E7">
        <w:rPr>
          <w:rFonts w:cs="Arial"/>
        </w:rPr>
        <w:t>educing the number of children leaving primary school who cannot swim 25 metres</w:t>
      </w:r>
      <w:r w:rsidR="00C83BE0">
        <w:rPr>
          <w:rFonts w:cs="Arial"/>
        </w:rPr>
        <w:t xml:space="preserve">, </w:t>
      </w:r>
      <w:r w:rsidR="00C83BE0" w:rsidRPr="009071E7">
        <w:rPr>
          <w:rFonts w:cs="Arial"/>
        </w:rPr>
        <w:t>and</w:t>
      </w:r>
    </w:p>
    <w:p w14:paraId="3A1DD87B" w14:textId="520BAD80" w:rsidR="00B01EF8" w:rsidRPr="009071E7" w:rsidRDefault="00B52E83" w:rsidP="00430B64">
      <w:pPr>
        <w:pStyle w:val="ListParagraph"/>
        <w:numPr>
          <w:ilvl w:val="0"/>
          <w:numId w:val="8"/>
        </w:numPr>
        <w:shd w:val="clear" w:color="auto" w:fill="FFFFFF" w:themeFill="background1"/>
        <w:tabs>
          <w:tab w:val="clear" w:pos="426"/>
        </w:tabs>
        <w:spacing w:before="120"/>
        <w:jc w:val="both"/>
        <w:textAlignment w:val="baseline"/>
        <w:rPr>
          <w:rFonts w:cs="Arial"/>
          <w:bdr w:val="none" w:sz="0" w:space="0" w:color="auto" w:frame="1"/>
        </w:rPr>
      </w:pPr>
      <w:r>
        <w:rPr>
          <w:rFonts w:cs="Arial"/>
        </w:rPr>
        <w:t>T</w:t>
      </w:r>
      <w:r w:rsidR="00B01EF8" w:rsidRPr="009071E7">
        <w:rPr>
          <w:rFonts w:cs="Arial"/>
        </w:rPr>
        <w:t>aking a lead in reducing the city’s impact on climate change</w:t>
      </w:r>
      <w:r w:rsidR="00B01EF8" w:rsidRPr="0078502A">
        <w:rPr>
          <w:rFonts w:cs="Arial"/>
        </w:rPr>
        <w:t xml:space="preserve"> </w:t>
      </w:r>
      <w:r w:rsidR="00B01EF8">
        <w:rPr>
          <w:rFonts w:cs="Arial"/>
        </w:rPr>
        <w:t xml:space="preserve">and </w:t>
      </w:r>
      <w:r w:rsidR="00B01EF8" w:rsidRPr="0078502A">
        <w:rPr>
          <w:rFonts w:cs="Arial"/>
        </w:rPr>
        <w:t>building on the £13m decarbonation of leisur</w:t>
      </w:r>
      <w:r w:rsidR="00B01EF8">
        <w:rPr>
          <w:rFonts w:cs="Arial"/>
        </w:rPr>
        <w:t>e</w:t>
      </w:r>
      <w:r w:rsidR="00B01EF8" w:rsidRPr="009071E7">
        <w:rPr>
          <w:rFonts w:cs="Arial"/>
        </w:rPr>
        <w:t xml:space="preserve">. </w:t>
      </w:r>
    </w:p>
    <w:p w14:paraId="7216041E" w14:textId="77777777" w:rsidR="0003698B" w:rsidRPr="006C04A0" w:rsidRDefault="0003698B" w:rsidP="00430B64">
      <w:pPr>
        <w:pStyle w:val="ListParagraph"/>
        <w:numPr>
          <w:ilvl w:val="0"/>
          <w:numId w:val="7"/>
        </w:numPr>
        <w:shd w:val="clear" w:color="auto" w:fill="FFFFFF" w:themeFill="background1"/>
        <w:tabs>
          <w:tab w:val="clear" w:pos="426"/>
        </w:tabs>
        <w:ind w:left="426" w:hanging="426"/>
        <w:jc w:val="both"/>
        <w:textAlignment w:val="baseline"/>
        <w:rPr>
          <w:rFonts w:cs="Arial"/>
        </w:rPr>
      </w:pPr>
      <w:r w:rsidRPr="009071E7">
        <w:rPr>
          <w:rFonts w:cs="Arial"/>
          <w:bdr w:val="none" w:sz="0" w:space="0" w:color="auto" w:frame="1"/>
        </w:rPr>
        <w:t>The outcomes and measures in the Thriving Communities Strategy hav</w:t>
      </w:r>
      <w:r>
        <w:rPr>
          <w:rFonts w:cs="Arial"/>
          <w:bdr w:val="none" w:sz="0" w:space="0" w:color="auto" w:frame="1"/>
        </w:rPr>
        <w:t xml:space="preserve">e helped to shape </w:t>
      </w:r>
      <w:r w:rsidRPr="009071E7">
        <w:rPr>
          <w:rFonts w:cs="Arial"/>
          <w:bdr w:val="none" w:sz="0" w:space="0" w:color="auto" w:frame="1"/>
        </w:rPr>
        <w:t xml:space="preserve">our </w:t>
      </w:r>
      <w:r>
        <w:rPr>
          <w:rFonts w:cs="Arial"/>
          <w:bdr w:val="none" w:sz="0" w:space="0" w:color="auto" w:frame="1"/>
        </w:rPr>
        <w:t xml:space="preserve">requirements for the future management of leisure </w:t>
      </w:r>
      <w:r w:rsidRPr="009071E7" w:rsidDel="00FC1596">
        <w:rPr>
          <w:rFonts w:cs="Arial"/>
          <w:bdr w:val="none" w:sz="0" w:space="0" w:color="auto" w:frame="1"/>
        </w:rPr>
        <w:t>centres</w:t>
      </w:r>
      <w:r w:rsidRPr="009071E7">
        <w:rPr>
          <w:rFonts w:cs="Arial"/>
          <w:bdr w:val="none" w:sz="0" w:space="0" w:color="auto" w:frame="1"/>
        </w:rPr>
        <w:t>.</w:t>
      </w:r>
    </w:p>
    <w:p w14:paraId="3B665F6B" w14:textId="6D4E93A0" w:rsidR="00410B5A" w:rsidRPr="00304DA7" w:rsidRDefault="00410B5A" w:rsidP="00430B64">
      <w:pPr>
        <w:pStyle w:val="ListParagraph"/>
        <w:numPr>
          <w:ilvl w:val="0"/>
          <w:numId w:val="7"/>
        </w:numPr>
        <w:shd w:val="clear" w:color="auto" w:fill="FFFFFF" w:themeFill="background1"/>
        <w:tabs>
          <w:tab w:val="clear" w:pos="426"/>
        </w:tabs>
        <w:ind w:left="426" w:hanging="426"/>
        <w:jc w:val="both"/>
        <w:textAlignment w:val="baseline"/>
        <w:rPr>
          <w:rFonts w:cs="Arial"/>
        </w:rPr>
      </w:pPr>
      <w:r w:rsidRPr="00E5708B">
        <w:rPr>
          <w:rFonts w:cs="Arial"/>
          <w:color w:val="000000" w:themeColor="text1"/>
        </w:rPr>
        <w:t>At the start of the process each political group leader was asked for a representative for a cross</w:t>
      </w:r>
      <w:r w:rsidR="001514EA">
        <w:rPr>
          <w:rFonts w:cs="Arial"/>
          <w:color w:val="000000" w:themeColor="text1"/>
        </w:rPr>
        <w:t>-</w:t>
      </w:r>
      <w:r w:rsidRPr="00E5708B">
        <w:rPr>
          <w:rFonts w:cs="Arial"/>
          <w:color w:val="000000" w:themeColor="text1"/>
        </w:rPr>
        <w:t xml:space="preserve">party steering group which has been in place over the tender period. </w:t>
      </w:r>
      <w:r w:rsidRPr="00E5708B">
        <w:rPr>
          <w:rFonts w:cs="Arial"/>
          <w:color w:val="000000" w:themeColor="text1"/>
        </w:rPr>
        <w:lastRenderedPageBreak/>
        <w:t xml:space="preserve">Progress updates were provided to a session that was held for all members and updates offered to each political </w:t>
      </w:r>
      <w:r w:rsidRPr="5AA2F31D">
        <w:rPr>
          <w:rFonts w:cs="Arial"/>
          <w:color w:val="000000" w:themeColor="text1"/>
        </w:rPr>
        <w:t>group.</w:t>
      </w:r>
      <w:r w:rsidRPr="00E5708B">
        <w:rPr>
          <w:rFonts w:cs="Arial"/>
          <w:color w:val="000000" w:themeColor="text1"/>
        </w:rPr>
        <w:t xml:space="preserve"> </w:t>
      </w:r>
      <w:r>
        <w:rPr>
          <w:rFonts w:cs="Arial"/>
          <w:color w:val="000000" w:themeColor="text1"/>
        </w:rPr>
        <w:t xml:space="preserve">We have provided regular briefings and updates on progress on the tender process to CMT and Leaders meetings, </w:t>
      </w:r>
      <w:r w:rsidRPr="00E5708B">
        <w:rPr>
          <w:rFonts w:cs="Arial"/>
          <w:color w:val="000000" w:themeColor="text1"/>
        </w:rPr>
        <w:t xml:space="preserve">alongside regular meetings with the </w:t>
      </w:r>
      <w:r w:rsidR="00D55BB8">
        <w:rPr>
          <w:rFonts w:cs="Arial"/>
          <w:color w:val="000000" w:themeColor="text1"/>
        </w:rPr>
        <w:t>Cabinet</w:t>
      </w:r>
      <w:r w:rsidRPr="00E5708B">
        <w:rPr>
          <w:rFonts w:cs="Arial"/>
          <w:color w:val="000000" w:themeColor="text1"/>
        </w:rPr>
        <w:t xml:space="preserve"> Member for Leisure and Parks. </w:t>
      </w:r>
    </w:p>
    <w:p w14:paraId="3546322F" w14:textId="77777777" w:rsidR="00FE0F13" w:rsidRPr="008B29C8" w:rsidRDefault="00FE0F13" w:rsidP="00430B64">
      <w:pPr>
        <w:pStyle w:val="ListParagraph"/>
        <w:numPr>
          <w:ilvl w:val="0"/>
          <w:numId w:val="7"/>
        </w:numPr>
        <w:shd w:val="clear" w:color="auto" w:fill="FFFFFF" w:themeFill="background1"/>
        <w:tabs>
          <w:tab w:val="clear" w:pos="426"/>
        </w:tabs>
        <w:spacing w:after="0"/>
        <w:ind w:left="426" w:hanging="426"/>
        <w:textAlignment w:val="baseline"/>
        <w:rPr>
          <w:rFonts w:cs="Arial"/>
        </w:rPr>
      </w:pPr>
      <w:r w:rsidRPr="008B29C8">
        <w:rPr>
          <w:rFonts w:cs="Arial"/>
          <w:bdr w:val="none" w:sz="0" w:space="0" w:color="auto" w:frame="1"/>
        </w:rPr>
        <w:t>The following sections of this report set out</w:t>
      </w:r>
      <w:r>
        <w:rPr>
          <w:rFonts w:cs="Arial"/>
          <w:bdr w:val="none" w:sz="0" w:space="0" w:color="auto" w:frame="1"/>
        </w:rPr>
        <w:t>:</w:t>
      </w:r>
    </w:p>
    <w:p w14:paraId="1537C229" w14:textId="11ECC172" w:rsidR="00742DE1" w:rsidRPr="00105DCD" w:rsidRDefault="00105DCD" w:rsidP="00430B64">
      <w:pPr>
        <w:pStyle w:val="ListParagraph"/>
        <w:numPr>
          <w:ilvl w:val="0"/>
          <w:numId w:val="9"/>
        </w:numPr>
        <w:spacing w:before="120"/>
        <w:rPr>
          <w:rFonts w:cs="Arial"/>
          <w:color w:val="000000" w:themeColor="text1"/>
        </w:rPr>
      </w:pPr>
      <w:r w:rsidRPr="00105DCD">
        <w:rPr>
          <w:rFonts w:cs="Arial"/>
        </w:rPr>
        <w:t>Our requirements for</w:t>
      </w:r>
      <w:r w:rsidRPr="00105DCD" w:rsidDel="00501B67">
        <w:rPr>
          <w:rFonts w:cs="Arial"/>
        </w:rPr>
        <w:t xml:space="preserve"> future</w:t>
      </w:r>
      <w:r w:rsidRPr="00105DCD">
        <w:rPr>
          <w:rFonts w:cs="Arial"/>
        </w:rPr>
        <w:t xml:space="preserve"> leisure provision.</w:t>
      </w:r>
    </w:p>
    <w:p w14:paraId="606D2EAF" w14:textId="77777777" w:rsidR="00CC54F0" w:rsidRPr="008B29C8" w:rsidRDefault="00CC54F0" w:rsidP="00430B64">
      <w:pPr>
        <w:pStyle w:val="ListParagraph"/>
        <w:numPr>
          <w:ilvl w:val="0"/>
          <w:numId w:val="9"/>
        </w:numPr>
        <w:rPr>
          <w:rFonts w:cs="Arial"/>
        </w:rPr>
      </w:pPr>
      <w:r>
        <w:rPr>
          <w:rFonts w:cs="Arial"/>
        </w:rPr>
        <w:t xml:space="preserve">Managing leisure services through </w:t>
      </w:r>
      <w:r w:rsidRPr="2B74C623">
        <w:rPr>
          <w:rFonts w:cs="Arial"/>
        </w:rPr>
        <w:t>in</w:t>
      </w:r>
      <w:r w:rsidRPr="008B29C8">
        <w:rPr>
          <w:rFonts w:cs="Arial"/>
        </w:rPr>
        <w:t>-house</w:t>
      </w:r>
      <w:r>
        <w:rPr>
          <w:rFonts w:cs="Arial"/>
        </w:rPr>
        <w:t xml:space="preserve"> arrangements</w:t>
      </w:r>
    </w:p>
    <w:p w14:paraId="7B3B803F" w14:textId="77777777" w:rsidR="0028299F" w:rsidRPr="008B29C8" w:rsidRDefault="0028299F" w:rsidP="00430B64">
      <w:pPr>
        <w:pStyle w:val="ListParagraph"/>
        <w:numPr>
          <w:ilvl w:val="0"/>
          <w:numId w:val="9"/>
        </w:numPr>
        <w:rPr>
          <w:rFonts w:cs="Arial"/>
        </w:rPr>
      </w:pPr>
      <w:r>
        <w:rPr>
          <w:rFonts w:cs="Arial"/>
        </w:rPr>
        <w:t xml:space="preserve">Formal </w:t>
      </w:r>
      <w:r w:rsidRPr="2B74C623">
        <w:rPr>
          <w:rFonts w:cs="Arial"/>
        </w:rPr>
        <w:t>external</w:t>
      </w:r>
      <w:r w:rsidRPr="008B29C8">
        <w:rPr>
          <w:rFonts w:cs="Arial"/>
        </w:rPr>
        <w:t xml:space="preserve"> tender </w:t>
      </w:r>
      <w:r>
        <w:rPr>
          <w:rFonts w:cs="Arial"/>
        </w:rPr>
        <w:t xml:space="preserve">and evaluation </w:t>
      </w:r>
      <w:r w:rsidRPr="2B74C623">
        <w:rPr>
          <w:rFonts w:cs="Arial"/>
        </w:rPr>
        <w:t>process</w:t>
      </w:r>
      <w:r w:rsidRPr="008B29C8">
        <w:rPr>
          <w:rFonts w:cs="Arial"/>
        </w:rPr>
        <w:t xml:space="preserve">. </w:t>
      </w:r>
    </w:p>
    <w:p w14:paraId="40780678" w14:textId="77777777" w:rsidR="00A201BF" w:rsidRPr="008B29C8" w:rsidRDefault="00A201BF" w:rsidP="00430B64">
      <w:pPr>
        <w:pStyle w:val="ListParagraph"/>
        <w:numPr>
          <w:ilvl w:val="0"/>
          <w:numId w:val="9"/>
        </w:numPr>
        <w:rPr>
          <w:rFonts w:cs="Arial"/>
        </w:rPr>
      </w:pPr>
      <w:r w:rsidRPr="008B29C8">
        <w:rPr>
          <w:rFonts w:cs="Arial"/>
        </w:rPr>
        <w:t>Conclusion and recommendations</w:t>
      </w:r>
      <w:r>
        <w:rPr>
          <w:rFonts w:cs="Arial"/>
        </w:rPr>
        <w:t>.</w:t>
      </w:r>
    </w:p>
    <w:p w14:paraId="4B635956" w14:textId="77777777" w:rsidR="00CB6F6F" w:rsidRPr="00CF0BD4" w:rsidRDefault="00CB6F6F" w:rsidP="00430B64">
      <w:pPr>
        <w:pStyle w:val="ListParagraph"/>
        <w:numPr>
          <w:ilvl w:val="0"/>
          <w:numId w:val="9"/>
        </w:numPr>
        <w:spacing w:after="0"/>
        <w:rPr>
          <w:rFonts w:cs="Arial"/>
        </w:rPr>
      </w:pPr>
      <w:r w:rsidRPr="008B29C8">
        <w:rPr>
          <w:rFonts w:cs="Arial"/>
        </w:rPr>
        <w:t>Managing the transition</w:t>
      </w:r>
      <w:r>
        <w:rPr>
          <w:rFonts w:cs="Arial"/>
        </w:rPr>
        <w:t>.</w:t>
      </w:r>
    </w:p>
    <w:p w14:paraId="3C36B754" w14:textId="77777777" w:rsidR="00105DCD" w:rsidRPr="00105DCD" w:rsidRDefault="00105DCD" w:rsidP="00A650D7">
      <w:pPr>
        <w:pStyle w:val="ListParagraph"/>
        <w:numPr>
          <w:ilvl w:val="0"/>
          <w:numId w:val="0"/>
        </w:numPr>
        <w:spacing w:after="0"/>
        <w:ind w:left="720"/>
        <w:rPr>
          <w:rFonts w:cs="Arial"/>
          <w:color w:val="000000" w:themeColor="text1"/>
        </w:rPr>
      </w:pPr>
    </w:p>
    <w:p w14:paraId="0315534F" w14:textId="575927E4" w:rsidR="00FC2311" w:rsidRDefault="00FC2311" w:rsidP="002B6836">
      <w:pPr>
        <w:pStyle w:val="Heading1"/>
      </w:pPr>
      <w:r>
        <w:t>Considerations and Reasons for Decision</w:t>
      </w:r>
    </w:p>
    <w:p w14:paraId="57BB8EE2" w14:textId="42539C5C" w:rsidR="008B0474" w:rsidRPr="000A6056" w:rsidRDefault="008B0474" w:rsidP="00CE7C06">
      <w:pPr>
        <w:shd w:val="clear" w:color="auto" w:fill="FFFFFF" w:themeFill="background1"/>
        <w:spacing w:before="240" w:after="240"/>
        <w:textAlignment w:val="baseline"/>
        <w:rPr>
          <w:rFonts w:cs="Arial"/>
          <w:u w:val="single"/>
        </w:rPr>
      </w:pPr>
      <w:bookmarkStart w:id="0" w:name="_Hlk151626009"/>
      <w:r w:rsidRPr="2B74C623">
        <w:rPr>
          <w:rFonts w:cs="Arial"/>
          <w:u w:val="single"/>
        </w:rPr>
        <w:t>Our requirements for future leisure provision</w:t>
      </w:r>
    </w:p>
    <w:bookmarkEnd w:id="0"/>
    <w:p w14:paraId="1763BA8D" w14:textId="77777777" w:rsidR="00A018DA" w:rsidRPr="00850AFF" w:rsidRDefault="00A018DA" w:rsidP="00430B64">
      <w:pPr>
        <w:pStyle w:val="ListParagraph"/>
        <w:numPr>
          <w:ilvl w:val="0"/>
          <w:numId w:val="7"/>
        </w:numPr>
        <w:tabs>
          <w:tab w:val="clear" w:pos="426"/>
        </w:tabs>
        <w:ind w:left="426" w:hanging="426"/>
        <w:jc w:val="both"/>
      </w:pPr>
      <w:r w:rsidRPr="00850AFF">
        <w:rPr>
          <w:rFonts w:cs="Arial"/>
        </w:rPr>
        <w:t xml:space="preserve">We distilled the main elements of </w:t>
      </w:r>
      <w:r>
        <w:rPr>
          <w:rFonts w:cs="Arial"/>
        </w:rPr>
        <w:t>our</w:t>
      </w:r>
      <w:r w:rsidRPr="00850AFF">
        <w:rPr>
          <w:rFonts w:cs="Arial"/>
        </w:rPr>
        <w:t xml:space="preserve"> integrative approach into service specification</w:t>
      </w:r>
      <w:r>
        <w:rPr>
          <w:rFonts w:cs="Arial"/>
        </w:rPr>
        <w:t>s</w:t>
      </w:r>
      <w:r w:rsidRPr="00850AFF">
        <w:rPr>
          <w:rFonts w:cs="Arial"/>
        </w:rPr>
        <w:t xml:space="preserve"> and tender assessment criteria, which focus on ensuring the </w:t>
      </w:r>
      <w:r>
        <w:rPr>
          <w:rFonts w:cs="Arial"/>
        </w:rPr>
        <w:t xml:space="preserve">leisure </w:t>
      </w:r>
      <w:r w:rsidRPr="00850AFF">
        <w:rPr>
          <w:rFonts w:cs="Arial"/>
        </w:rPr>
        <w:t xml:space="preserve">centres are clean, safe, accessible, and inclusive with increased targets for underrepresented groups. </w:t>
      </w:r>
      <w:r>
        <w:rPr>
          <w:rFonts w:cs="Arial"/>
        </w:rPr>
        <w:t>T</w:t>
      </w:r>
      <w:r w:rsidRPr="00850AFF">
        <w:rPr>
          <w:rFonts w:cs="Arial"/>
        </w:rPr>
        <w:t xml:space="preserve">he </w:t>
      </w:r>
      <w:r w:rsidRPr="00B80113">
        <w:t>criteria</w:t>
      </w:r>
      <w:r w:rsidRPr="00850AFF">
        <w:rPr>
          <w:rFonts w:cs="Arial"/>
        </w:rPr>
        <w:t xml:space="preserve"> </w:t>
      </w:r>
      <w:r>
        <w:rPr>
          <w:rFonts w:cs="Arial"/>
        </w:rPr>
        <w:t xml:space="preserve">and </w:t>
      </w:r>
      <w:r w:rsidRPr="00850AFF">
        <w:rPr>
          <w:rFonts w:cs="Arial"/>
        </w:rPr>
        <w:t>specification</w:t>
      </w:r>
      <w:r>
        <w:rPr>
          <w:rFonts w:cs="Arial"/>
        </w:rPr>
        <w:t>s</w:t>
      </w:r>
      <w:r>
        <w:t xml:space="preserve">, which are the basis for preparing our in-house proposals and evaluating the tenders, have </w:t>
      </w:r>
      <w:r w:rsidRPr="2B74C623">
        <w:rPr>
          <w:color w:val="auto"/>
        </w:rPr>
        <w:t>t</w:t>
      </w:r>
      <w:r w:rsidRPr="00B80113">
        <w:t>wo</w:t>
      </w:r>
      <w:r>
        <w:t xml:space="preserve"> core elements</w:t>
      </w:r>
      <w:r w:rsidRPr="00B80113">
        <w:t>:</w:t>
      </w:r>
    </w:p>
    <w:p w14:paraId="2443A07B" w14:textId="4C1F129E" w:rsidR="00603D0C" w:rsidRPr="000D3257" w:rsidRDefault="00603D0C" w:rsidP="00430B64">
      <w:pPr>
        <w:pStyle w:val="ListParagraph"/>
        <w:numPr>
          <w:ilvl w:val="1"/>
          <w:numId w:val="7"/>
        </w:numPr>
        <w:shd w:val="clear" w:color="auto" w:fill="FFFFFF" w:themeFill="background1"/>
        <w:tabs>
          <w:tab w:val="clear" w:pos="426"/>
        </w:tabs>
        <w:spacing w:after="240"/>
        <w:jc w:val="both"/>
        <w:textAlignment w:val="baseline"/>
        <w:rPr>
          <w:rFonts w:cs="Arial"/>
        </w:rPr>
      </w:pPr>
      <w:r w:rsidRPr="00DF1789">
        <w:rPr>
          <w:rFonts w:cs="Arial"/>
        </w:rPr>
        <w:t>Qualitative</w:t>
      </w:r>
      <w:r>
        <w:rPr>
          <w:rFonts w:cs="Arial"/>
        </w:rPr>
        <w:t xml:space="preserve"> </w:t>
      </w:r>
      <w:r w:rsidRPr="2B74C623">
        <w:rPr>
          <w:rFonts w:cs="Arial"/>
        </w:rPr>
        <w:t>–</w:t>
      </w:r>
      <w:r>
        <w:rPr>
          <w:rFonts w:cs="Arial"/>
        </w:rPr>
        <w:t xml:space="preserve"> the nature and quality of proposals in terms of </w:t>
      </w:r>
      <w:r w:rsidRPr="00DF1789">
        <w:rPr>
          <w:rFonts w:cs="Arial"/>
        </w:rPr>
        <w:t xml:space="preserve">active </w:t>
      </w:r>
      <w:r>
        <w:rPr>
          <w:rFonts w:cs="Arial"/>
        </w:rPr>
        <w:t xml:space="preserve">engagement with </w:t>
      </w:r>
      <w:r w:rsidRPr="00DF1789">
        <w:rPr>
          <w:rFonts w:cs="Arial"/>
        </w:rPr>
        <w:t xml:space="preserve">communities, </w:t>
      </w:r>
      <w:r>
        <w:rPr>
          <w:rFonts w:cs="Arial"/>
        </w:rPr>
        <w:t xml:space="preserve">customer </w:t>
      </w:r>
      <w:r w:rsidRPr="00DF1789">
        <w:rPr>
          <w:rFonts w:cs="Arial"/>
        </w:rPr>
        <w:t xml:space="preserve">participation targets, </w:t>
      </w:r>
      <w:r>
        <w:rPr>
          <w:rFonts w:cs="Arial"/>
        </w:rPr>
        <w:t xml:space="preserve">quality of </w:t>
      </w:r>
      <w:r w:rsidRPr="00DF1789">
        <w:rPr>
          <w:rFonts w:cs="Arial"/>
        </w:rPr>
        <w:t>customer service, innovation</w:t>
      </w:r>
      <w:r>
        <w:rPr>
          <w:rFonts w:cs="Arial"/>
        </w:rPr>
        <w:t>s and</w:t>
      </w:r>
      <w:r w:rsidRPr="00DF1789">
        <w:rPr>
          <w:rFonts w:cs="Arial"/>
        </w:rPr>
        <w:t xml:space="preserve"> energy management</w:t>
      </w:r>
      <w:r w:rsidRPr="00DF1789" w:rsidDel="001C7684">
        <w:rPr>
          <w:rFonts w:cs="Arial"/>
        </w:rPr>
        <w:t xml:space="preserve">, </w:t>
      </w:r>
      <w:r w:rsidRPr="00DF1789">
        <w:rPr>
          <w:rFonts w:cs="Arial"/>
        </w:rPr>
        <w:t>health and safety</w:t>
      </w:r>
      <w:r>
        <w:rPr>
          <w:rFonts w:cs="Arial"/>
        </w:rPr>
        <w:t xml:space="preserve"> focus</w:t>
      </w:r>
      <w:r w:rsidRPr="00DF1789">
        <w:rPr>
          <w:rFonts w:cs="Arial"/>
        </w:rPr>
        <w:t xml:space="preserve">, building </w:t>
      </w:r>
      <w:r>
        <w:rPr>
          <w:rFonts w:cs="Arial"/>
        </w:rPr>
        <w:t xml:space="preserve">and facilities </w:t>
      </w:r>
      <w:r w:rsidRPr="00DF1789">
        <w:rPr>
          <w:rFonts w:cs="Arial"/>
        </w:rPr>
        <w:t>operations</w:t>
      </w:r>
      <w:r>
        <w:rPr>
          <w:rFonts w:cs="Arial"/>
        </w:rPr>
        <w:t>, and management</w:t>
      </w:r>
      <w:r w:rsidRPr="00DF1789">
        <w:rPr>
          <w:rFonts w:cs="Arial"/>
        </w:rPr>
        <w:t xml:space="preserve">. </w:t>
      </w:r>
      <w:r w:rsidRPr="57ED982C">
        <w:rPr>
          <w:rFonts w:cs="Arial"/>
        </w:rPr>
        <w:t>Staffing and training levels were a key part of the evaluation and the dialogue with the bidders, this covered aspects such as employee terms and conditions and how each of the bidders worked with trade unions.</w:t>
      </w:r>
    </w:p>
    <w:p w14:paraId="4441134D" w14:textId="4C49BE4E" w:rsidR="004904F1" w:rsidRPr="000D3257" w:rsidRDefault="004904F1" w:rsidP="00430B64">
      <w:pPr>
        <w:pStyle w:val="ListParagraph"/>
        <w:numPr>
          <w:ilvl w:val="1"/>
          <w:numId w:val="7"/>
        </w:numPr>
        <w:shd w:val="clear" w:color="auto" w:fill="FFFFFF" w:themeFill="background1"/>
        <w:tabs>
          <w:tab w:val="clear" w:pos="426"/>
        </w:tabs>
        <w:spacing w:after="240"/>
        <w:jc w:val="both"/>
        <w:textAlignment w:val="baseline"/>
        <w:rPr>
          <w:rFonts w:cs="Arial"/>
          <w:color w:val="000000" w:themeColor="text1"/>
        </w:rPr>
      </w:pPr>
      <w:r w:rsidRPr="000D3257">
        <w:rPr>
          <w:rFonts w:cs="Arial"/>
        </w:rPr>
        <w:t xml:space="preserve">Costs </w:t>
      </w:r>
      <w:r w:rsidR="007330D6">
        <w:rPr>
          <w:rFonts w:cs="Arial"/>
        </w:rPr>
        <w:t xml:space="preserve">– the </w:t>
      </w:r>
      <w:r w:rsidRPr="000D3257">
        <w:rPr>
          <w:rFonts w:cs="Arial"/>
        </w:rPr>
        <w:t>average management fee payable to the Council and the</w:t>
      </w:r>
      <w:r w:rsidRPr="000D3257" w:rsidDel="001C7684">
        <w:rPr>
          <w:rFonts w:cs="Arial"/>
        </w:rPr>
        <w:t xml:space="preserve"> </w:t>
      </w:r>
      <w:r w:rsidRPr="000D3257">
        <w:rPr>
          <w:rFonts w:cs="Arial"/>
        </w:rPr>
        <w:t>deliverability of business plans. D</w:t>
      </w:r>
      <w:r w:rsidRPr="000D3257">
        <w:rPr>
          <w:rFonts w:cs="Arial"/>
          <w:bdr w:val="none" w:sz="0" w:space="0" w:color="auto" w:frame="1"/>
        </w:rPr>
        <w:t xml:space="preserve">elivering high quality services in a financially sustainable way is core to the Councils requirement, as defined by the </w:t>
      </w:r>
      <w:r w:rsidRPr="000D3257">
        <w:rPr>
          <w:rFonts w:cs="Arial"/>
        </w:rPr>
        <w:t>MTFP assumptions for leisure services of a net annual income of £500k.</w:t>
      </w:r>
    </w:p>
    <w:p w14:paraId="54CE4809" w14:textId="77777777" w:rsidR="000A39C9" w:rsidRDefault="000A39C9" w:rsidP="00430B64">
      <w:pPr>
        <w:pStyle w:val="ListParagraph"/>
        <w:numPr>
          <w:ilvl w:val="0"/>
          <w:numId w:val="7"/>
        </w:numPr>
        <w:shd w:val="clear" w:color="auto" w:fill="FFFFFF" w:themeFill="background1"/>
        <w:tabs>
          <w:tab w:val="clear" w:pos="426"/>
        </w:tabs>
        <w:spacing w:after="0"/>
        <w:ind w:left="425" w:hanging="425"/>
        <w:jc w:val="both"/>
        <w:textAlignment w:val="baseline"/>
        <w:rPr>
          <w:rFonts w:cs="Arial"/>
        </w:rPr>
      </w:pPr>
      <w:r>
        <w:rPr>
          <w:rFonts w:cs="Arial"/>
        </w:rPr>
        <w:t xml:space="preserve">Our assessed quality requirements also reflect core Council objectives, including: </w:t>
      </w:r>
    </w:p>
    <w:p w14:paraId="118BED70" w14:textId="41A16350" w:rsidR="000A5413" w:rsidRDefault="000A5413" w:rsidP="00430B64">
      <w:pPr>
        <w:pStyle w:val="ListParagraph"/>
        <w:numPr>
          <w:ilvl w:val="0"/>
          <w:numId w:val="10"/>
        </w:numPr>
        <w:shd w:val="clear" w:color="auto" w:fill="FFFFFF" w:themeFill="background1"/>
        <w:tabs>
          <w:tab w:val="clear" w:pos="426"/>
        </w:tabs>
        <w:spacing w:before="120" w:after="0"/>
        <w:jc w:val="both"/>
        <w:textAlignment w:val="baseline"/>
        <w:rPr>
          <w:rFonts w:cs="Arial"/>
          <w:color w:val="auto"/>
        </w:rPr>
      </w:pPr>
      <w:r>
        <w:rPr>
          <w:rFonts w:cs="Arial"/>
          <w:color w:val="auto"/>
        </w:rPr>
        <w:t>E</w:t>
      </w:r>
      <w:r w:rsidRPr="006C3DD8">
        <w:rPr>
          <w:rFonts w:cs="Arial"/>
          <w:color w:val="auto"/>
        </w:rPr>
        <w:t xml:space="preserve">nsuring social value, by promoting healthier lifestyles and collaborative working with our partners and communities; </w:t>
      </w:r>
    </w:p>
    <w:p w14:paraId="12E5C6F6" w14:textId="47364B5F" w:rsidR="004214F2" w:rsidRPr="00FA54B7" w:rsidRDefault="00FA54B7" w:rsidP="00430B64">
      <w:pPr>
        <w:pStyle w:val="ListParagraph"/>
        <w:numPr>
          <w:ilvl w:val="0"/>
          <w:numId w:val="10"/>
        </w:numPr>
        <w:shd w:val="clear" w:color="auto" w:fill="FFFFFF" w:themeFill="background1"/>
        <w:tabs>
          <w:tab w:val="clear" w:pos="426"/>
        </w:tabs>
        <w:spacing w:before="120" w:after="0"/>
        <w:jc w:val="both"/>
        <w:textAlignment w:val="baseline"/>
        <w:rPr>
          <w:rFonts w:cs="Arial"/>
          <w:color w:val="000000" w:themeColor="text1"/>
        </w:rPr>
      </w:pPr>
      <w:r>
        <w:rPr>
          <w:rFonts w:cs="Arial"/>
          <w:color w:val="000000" w:themeColor="text1"/>
        </w:rPr>
        <w:t>B</w:t>
      </w:r>
      <w:r w:rsidR="004214F2" w:rsidRPr="00FA54B7">
        <w:rPr>
          <w:rFonts w:cs="Arial"/>
          <w:color w:val="000000" w:themeColor="text1"/>
        </w:rPr>
        <w:t xml:space="preserve">idders have been asked to develop more effective and financially sustainable ways to improve access and inclusion. This includes pricing, marketing and community outreach, programming and concessions. We will be having further conversations with the successful bidder to make sure aspects such as concessionary pricing are used as effectively as possible to support our equality, diversity and inclusion work; and </w:t>
      </w:r>
    </w:p>
    <w:p w14:paraId="30BD8434" w14:textId="6E9116B8" w:rsidR="00FA54B7" w:rsidRPr="0038762A" w:rsidRDefault="00FA54B7" w:rsidP="00430B64">
      <w:pPr>
        <w:pStyle w:val="ListParagraph"/>
        <w:numPr>
          <w:ilvl w:val="0"/>
          <w:numId w:val="10"/>
        </w:numPr>
        <w:shd w:val="clear" w:color="auto" w:fill="FFFFFF" w:themeFill="background1"/>
        <w:tabs>
          <w:tab w:val="clear" w:pos="426"/>
        </w:tabs>
        <w:spacing w:before="120"/>
        <w:jc w:val="both"/>
        <w:textAlignment w:val="baseline"/>
        <w:rPr>
          <w:rFonts w:cs="Arial"/>
          <w:color w:val="000000" w:themeColor="text1"/>
        </w:rPr>
      </w:pPr>
      <w:r>
        <w:rPr>
          <w:rFonts w:cs="Arial"/>
        </w:rPr>
        <w:t>P</w:t>
      </w:r>
      <w:r w:rsidRPr="5F2754D5">
        <w:rPr>
          <w:rFonts w:cs="Arial"/>
        </w:rPr>
        <w:t xml:space="preserve">romoting effective carbon reduction management - criteria explains how targets will be set for the successful bidder and reviewed annually to ensure the </w:t>
      </w:r>
      <w:r w:rsidRPr="5F2754D5">
        <w:rPr>
          <w:rFonts w:cs="Arial"/>
          <w:color w:val="auto"/>
        </w:rPr>
        <w:t>centres support Oxford’s climate ambitions.</w:t>
      </w:r>
    </w:p>
    <w:p w14:paraId="6C848F53" w14:textId="77777777" w:rsidR="002D0BFF" w:rsidRPr="007E7896" w:rsidRDefault="002D0BFF" w:rsidP="00430B64">
      <w:pPr>
        <w:pStyle w:val="ListParagraph"/>
        <w:numPr>
          <w:ilvl w:val="0"/>
          <w:numId w:val="7"/>
        </w:numPr>
        <w:shd w:val="clear" w:color="auto" w:fill="FFFFFF" w:themeFill="background1"/>
        <w:tabs>
          <w:tab w:val="clear" w:pos="426"/>
        </w:tabs>
        <w:spacing w:after="0" w:line="276" w:lineRule="auto"/>
        <w:ind w:left="426" w:hanging="426"/>
        <w:jc w:val="both"/>
        <w:textAlignment w:val="baseline"/>
        <w:rPr>
          <w:rFonts w:cs="Arial"/>
          <w:bdr w:val="none" w:sz="0" w:space="0" w:color="auto" w:frame="1"/>
        </w:rPr>
      </w:pPr>
      <w:r w:rsidRPr="008B29C8">
        <w:rPr>
          <w:rFonts w:cs="Arial"/>
          <w:bdr w:val="none" w:sz="0" w:space="0" w:color="auto" w:frame="1"/>
        </w:rPr>
        <w:lastRenderedPageBreak/>
        <w:t>The assessment criteria were weighted with 60% of the</w:t>
      </w:r>
      <w:r>
        <w:rPr>
          <w:rFonts w:cs="Arial"/>
          <w:bdr w:val="none" w:sz="0" w:space="0" w:color="auto" w:frame="1"/>
        </w:rPr>
        <w:t xml:space="preserve"> total possible</w:t>
      </w:r>
      <w:r w:rsidRPr="008B29C8">
        <w:rPr>
          <w:rFonts w:cs="Arial"/>
          <w:bdr w:val="none" w:sz="0" w:space="0" w:color="auto" w:frame="1"/>
        </w:rPr>
        <w:t xml:space="preserve"> marks being </w:t>
      </w:r>
      <w:r>
        <w:rPr>
          <w:rFonts w:cs="Arial"/>
          <w:bdr w:val="none" w:sz="0" w:space="0" w:color="auto" w:frame="1"/>
        </w:rPr>
        <w:t>for the</w:t>
      </w:r>
      <w:r w:rsidRPr="008B29C8">
        <w:rPr>
          <w:rFonts w:cs="Arial"/>
          <w:bdr w:val="none" w:sz="0" w:space="0" w:color="auto" w:frame="1"/>
        </w:rPr>
        <w:t xml:space="preserve"> quality </w:t>
      </w:r>
      <w:r>
        <w:rPr>
          <w:rFonts w:cs="Arial"/>
          <w:bdr w:val="none" w:sz="0" w:space="0" w:color="auto" w:frame="1"/>
        </w:rPr>
        <w:t xml:space="preserve">of offers of in tender submissions, </w:t>
      </w:r>
      <w:r w:rsidRPr="008B29C8">
        <w:rPr>
          <w:rFonts w:cs="Arial"/>
          <w:bdr w:val="none" w:sz="0" w:space="0" w:color="auto" w:frame="1"/>
        </w:rPr>
        <w:t xml:space="preserve">and 40% </w:t>
      </w:r>
      <w:r>
        <w:rPr>
          <w:rFonts w:cs="Arial"/>
          <w:bdr w:val="none" w:sz="0" w:space="0" w:color="auto" w:frame="1"/>
        </w:rPr>
        <w:t>for</w:t>
      </w:r>
      <w:r w:rsidRPr="008B29C8">
        <w:rPr>
          <w:rFonts w:cs="Arial"/>
          <w:bdr w:val="none" w:sz="0" w:space="0" w:color="auto" w:frame="1"/>
        </w:rPr>
        <w:t xml:space="preserve"> </w:t>
      </w:r>
      <w:r>
        <w:rPr>
          <w:rFonts w:cs="Arial"/>
          <w:bdr w:val="none" w:sz="0" w:space="0" w:color="auto" w:frame="1"/>
        </w:rPr>
        <w:t xml:space="preserve">the competitiveness </w:t>
      </w:r>
      <w:r w:rsidRPr="008B29C8">
        <w:rPr>
          <w:rFonts w:cs="Arial"/>
          <w:bdr w:val="none" w:sz="0" w:space="0" w:color="auto" w:frame="1"/>
        </w:rPr>
        <w:t>cost</w:t>
      </w:r>
      <w:r>
        <w:rPr>
          <w:rFonts w:cs="Arial"/>
          <w:bdr w:val="none" w:sz="0" w:space="0" w:color="auto" w:frame="1"/>
        </w:rPr>
        <w:t>s</w:t>
      </w:r>
      <w:r w:rsidRPr="1AAF3374">
        <w:rPr>
          <w:rFonts w:cs="Arial"/>
        </w:rPr>
        <w:t xml:space="preserve"> </w:t>
      </w:r>
      <w:r w:rsidRPr="1AAF3374">
        <w:rPr>
          <w:rFonts w:cs="Arial"/>
          <w:color w:val="000000" w:themeColor="text1"/>
        </w:rPr>
        <w:t xml:space="preserve">and business plan </w:t>
      </w:r>
      <w:r w:rsidRPr="004850EA">
        <w:rPr>
          <w:rFonts w:cs="Arial"/>
          <w:color w:val="000000" w:themeColor="text1"/>
          <w:bdr w:val="none" w:sz="0" w:space="0" w:color="auto" w:frame="1"/>
        </w:rPr>
        <w:t xml:space="preserve">deliverability. </w:t>
      </w:r>
      <w:r w:rsidRPr="008B29C8">
        <w:rPr>
          <w:rFonts w:cs="Arial"/>
          <w:bdr w:val="none" w:sz="0" w:space="0" w:color="auto" w:frame="1"/>
        </w:rPr>
        <w:t>The</w:t>
      </w:r>
      <w:r w:rsidRPr="00C716A0">
        <w:rPr>
          <w:rFonts w:cs="Arial"/>
          <w:color w:val="auto"/>
          <w:bdr w:val="none" w:sz="0" w:space="0" w:color="auto" w:frame="1"/>
        </w:rPr>
        <w:t xml:space="preserve"> full criteria are shown at</w:t>
      </w:r>
      <w:r w:rsidRPr="00982A70">
        <w:rPr>
          <w:rFonts w:cs="Arial"/>
          <w:color w:val="C00000"/>
          <w:bdr w:val="none" w:sz="0" w:space="0" w:color="auto" w:frame="1"/>
        </w:rPr>
        <w:t xml:space="preserve"> </w:t>
      </w:r>
      <w:r w:rsidRPr="31619BB5">
        <w:rPr>
          <w:rFonts w:cs="Arial"/>
          <w:b/>
          <w:color w:val="auto"/>
          <w:bdr w:val="none" w:sz="0" w:space="0" w:color="auto" w:frame="1"/>
        </w:rPr>
        <w:t xml:space="preserve">Appendix 1. </w:t>
      </w:r>
    </w:p>
    <w:p w14:paraId="654496DA" w14:textId="77777777" w:rsidR="00757E7B" w:rsidRPr="00757E7B" w:rsidRDefault="00757E7B" w:rsidP="00757E7B">
      <w:pPr>
        <w:shd w:val="clear" w:color="auto" w:fill="FFFFFF" w:themeFill="background1"/>
        <w:spacing w:before="240" w:after="240"/>
        <w:ind w:left="426" w:hanging="426"/>
        <w:textAlignment w:val="baseline"/>
        <w:rPr>
          <w:rFonts w:cs="Arial"/>
          <w:u w:val="single"/>
          <w:bdr w:val="none" w:sz="0" w:space="0" w:color="auto" w:frame="1"/>
        </w:rPr>
      </w:pPr>
      <w:r w:rsidRPr="00757E7B">
        <w:rPr>
          <w:rFonts w:cs="Arial"/>
          <w:u w:val="single"/>
        </w:rPr>
        <w:t>M</w:t>
      </w:r>
      <w:r w:rsidRPr="00757E7B">
        <w:rPr>
          <w:rFonts w:cs="Arial"/>
          <w:u w:val="single"/>
          <w:bdr w:val="none" w:sz="0" w:space="0" w:color="auto" w:frame="1"/>
        </w:rPr>
        <w:t xml:space="preserve">anaging leisure services through in-house arrangements. </w:t>
      </w:r>
    </w:p>
    <w:p w14:paraId="58292823" w14:textId="77777777" w:rsidR="00EF4CD2" w:rsidRDefault="00EF4CD2" w:rsidP="00430B64">
      <w:pPr>
        <w:pStyle w:val="ListParagraph"/>
        <w:numPr>
          <w:ilvl w:val="0"/>
          <w:numId w:val="7"/>
        </w:numPr>
        <w:tabs>
          <w:tab w:val="clear" w:pos="426"/>
        </w:tabs>
        <w:ind w:left="426" w:hanging="426"/>
        <w:jc w:val="both"/>
        <w:rPr>
          <w:rFonts w:cs="Arial"/>
        </w:rPr>
      </w:pPr>
      <w:bookmarkStart w:id="1" w:name="_Ref155197943"/>
      <w:r>
        <w:rPr>
          <w:rFonts w:cs="Arial"/>
        </w:rPr>
        <w:t xml:space="preserve">We prepared proposals to assess the feasibility of </w:t>
      </w:r>
      <w:r w:rsidRPr="00EE0E57" w:rsidDel="00653E82">
        <w:rPr>
          <w:rFonts w:cs="Arial"/>
        </w:rPr>
        <w:t xml:space="preserve">managing </w:t>
      </w:r>
      <w:r w:rsidRPr="2B74C623">
        <w:rPr>
          <w:rFonts w:cs="Arial"/>
        </w:rPr>
        <w:t xml:space="preserve">the </w:t>
      </w:r>
      <w:r w:rsidRPr="00EE0E57" w:rsidDel="00653E82">
        <w:rPr>
          <w:rFonts w:cs="Arial"/>
        </w:rPr>
        <w:t xml:space="preserve">leisure services through </w:t>
      </w:r>
      <w:r w:rsidRPr="2B74C623">
        <w:rPr>
          <w:rFonts w:cs="Arial"/>
        </w:rPr>
        <w:t xml:space="preserve">our </w:t>
      </w:r>
      <w:r w:rsidRPr="00EE0E57" w:rsidDel="00653E82">
        <w:rPr>
          <w:rFonts w:cs="Arial"/>
        </w:rPr>
        <w:t>in-house arrangements</w:t>
      </w:r>
      <w:r w:rsidRPr="2B74C623">
        <w:rPr>
          <w:rFonts w:cs="Arial"/>
        </w:rPr>
        <w:t>.</w:t>
      </w:r>
      <w:r w:rsidRPr="008B29C8">
        <w:rPr>
          <w:rFonts w:cs="Arial"/>
        </w:rPr>
        <w:t xml:space="preserve"> </w:t>
      </w:r>
      <w:r>
        <w:rPr>
          <w:rFonts w:cs="Arial"/>
        </w:rPr>
        <w:t xml:space="preserve">By setting out </w:t>
      </w:r>
      <w:r w:rsidRPr="008B29C8">
        <w:rPr>
          <w:rFonts w:cs="Arial"/>
        </w:rPr>
        <w:t xml:space="preserve">how the </w:t>
      </w:r>
      <w:r>
        <w:rPr>
          <w:rFonts w:cs="Arial"/>
        </w:rPr>
        <w:t>C</w:t>
      </w:r>
      <w:r w:rsidRPr="008B29C8">
        <w:rPr>
          <w:rFonts w:cs="Arial"/>
        </w:rPr>
        <w:t xml:space="preserve">ouncil </w:t>
      </w:r>
      <w:r>
        <w:rPr>
          <w:rFonts w:cs="Arial"/>
        </w:rPr>
        <w:t xml:space="preserve">could </w:t>
      </w:r>
      <w:r w:rsidRPr="008B29C8">
        <w:rPr>
          <w:rFonts w:cs="Arial"/>
        </w:rPr>
        <w:t>deliver the services itself</w:t>
      </w:r>
      <w:r>
        <w:rPr>
          <w:rFonts w:cs="Arial"/>
        </w:rPr>
        <w:t>, the</w:t>
      </w:r>
      <w:r w:rsidRPr="008B29C8" w:rsidDel="00FE220A">
        <w:rPr>
          <w:rFonts w:cs="Arial"/>
        </w:rPr>
        <w:t xml:space="preserve"> </w:t>
      </w:r>
      <w:r w:rsidRPr="2B74C623">
        <w:rPr>
          <w:rFonts w:cs="Arial"/>
        </w:rPr>
        <w:t>in-house proposal also provided a “comparator” for considering external options.</w:t>
      </w:r>
      <w:bookmarkEnd w:id="1"/>
    </w:p>
    <w:p w14:paraId="40F4B374" w14:textId="77777777" w:rsidR="00D779E6" w:rsidRDefault="00D779E6" w:rsidP="00430B64">
      <w:pPr>
        <w:pStyle w:val="ListParagraph"/>
        <w:numPr>
          <w:ilvl w:val="0"/>
          <w:numId w:val="7"/>
        </w:numPr>
        <w:tabs>
          <w:tab w:val="clear" w:pos="426"/>
        </w:tabs>
        <w:ind w:left="426" w:hanging="426"/>
        <w:jc w:val="both"/>
        <w:rPr>
          <w:rFonts w:cs="Arial"/>
        </w:rPr>
      </w:pPr>
      <w:r w:rsidRPr="00C325D6">
        <w:rPr>
          <w:rFonts w:cs="Arial"/>
        </w:rPr>
        <w:t xml:space="preserve">The service requirements and criteria applied to the </w:t>
      </w:r>
      <w:r>
        <w:rPr>
          <w:rFonts w:cs="Arial"/>
        </w:rPr>
        <w:t xml:space="preserve">tender process </w:t>
      </w:r>
      <w:r w:rsidRPr="00C325D6">
        <w:rPr>
          <w:rFonts w:cs="Arial"/>
        </w:rPr>
        <w:t xml:space="preserve">were also </w:t>
      </w:r>
      <w:r>
        <w:rPr>
          <w:rFonts w:cs="Arial"/>
        </w:rPr>
        <w:t xml:space="preserve">applied in preparing the </w:t>
      </w:r>
      <w:r w:rsidRPr="00C325D6">
        <w:rPr>
          <w:rFonts w:cs="Arial"/>
        </w:rPr>
        <w:t>in</w:t>
      </w:r>
      <w:r>
        <w:rPr>
          <w:rFonts w:cs="Arial"/>
        </w:rPr>
        <w:t>-</w:t>
      </w:r>
      <w:r w:rsidRPr="00C325D6">
        <w:rPr>
          <w:rFonts w:cs="Arial"/>
        </w:rPr>
        <w:t xml:space="preserve">house </w:t>
      </w:r>
      <w:r>
        <w:rPr>
          <w:rFonts w:cs="Arial"/>
        </w:rPr>
        <w:t>proposal</w:t>
      </w:r>
      <w:r w:rsidRPr="00C325D6">
        <w:rPr>
          <w:rFonts w:cs="Arial"/>
        </w:rPr>
        <w:t xml:space="preserve">. </w:t>
      </w:r>
    </w:p>
    <w:p w14:paraId="1D7ED703" w14:textId="77777777" w:rsidR="0055719E" w:rsidRDefault="0055719E" w:rsidP="00430B64">
      <w:pPr>
        <w:pStyle w:val="ListParagraph"/>
        <w:numPr>
          <w:ilvl w:val="0"/>
          <w:numId w:val="7"/>
        </w:numPr>
        <w:tabs>
          <w:tab w:val="clear" w:pos="426"/>
        </w:tabs>
        <w:ind w:left="426" w:hanging="429"/>
        <w:jc w:val="both"/>
        <w:rPr>
          <w:rFonts w:cs="Arial"/>
        </w:rPr>
      </w:pPr>
      <w:r w:rsidRPr="31619BB5">
        <w:rPr>
          <w:rFonts w:cs="Arial"/>
        </w:rPr>
        <w:t>To</w:t>
      </w:r>
      <w:r w:rsidRPr="008B29C8">
        <w:rPr>
          <w:rFonts w:cs="Arial"/>
        </w:rPr>
        <w:t xml:space="preserve"> assure </w:t>
      </w:r>
      <w:r w:rsidRPr="2B74C623">
        <w:rPr>
          <w:rFonts w:cs="Arial"/>
        </w:rPr>
        <w:t xml:space="preserve">its </w:t>
      </w:r>
      <w:r w:rsidRPr="008B29C8">
        <w:rPr>
          <w:rFonts w:cs="Arial"/>
        </w:rPr>
        <w:t>robustness and accuracy, the in-house team built</w:t>
      </w:r>
      <w:r>
        <w:rPr>
          <w:rFonts w:cs="Arial"/>
        </w:rPr>
        <w:t>-in</w:t>
      </w:r>
      <w:r w:rsidRPr="008B29C8">
        <w:rPr>
          <w:rFonts w:cs="Arial"/>
        </w:rPr>
        <w:t xml:space="preserve"> check and challenge sessions</w:t>
      </w:r>
      <w:r>
        <w:rPr>
          <w:rFonts w:cs="Arial"/>
        </w:rPr>
        <w:t>,</w:t>
      </w:r>
      <w:r w:rsidRPr="008B29C8">
        <w:rPr>
          <w:rFonts w:cs="Arial"/>
        </w:rPr>
        <w:t xml:space="preserve"> </w:t>
      </w:r>
      <w:r>
        <w:rPr>
          <w:rFonts w:cs="Arial"/>
        </w:rPr>
        <w:t xml:space="preserve">of its </w:t>
      </w:r>
      <w:r w:rsidRPr="008B29C8">
        <w:rPr>
          <w:rFonts w:cs="Arial"/>
        </w:rPr>
        <w:t>assumptions</w:t>
      </w:r>
      <w:r>
        <w:rPr>
          <w:rFonts w:cs="Arial"/>
        </w:rPr>
        <w:t xml:space="preserve"> and </w:t>
      </w:r>
      <w:r w:rsidRPr="008B29C8">
        <w:rPr>
          <w:rFonts w:cs="Arial"/>
        </w:rPr>
        <w:t>costing</w:t>
      </w:r>
      <w:r>
        <w:rPr>
          <w:rFonts w:cs="Arial"/>
        </w:rPr>
        <w:t xml:space="preserve">, </w:t>
      </w:r>
      <w:r w:rsidRPr="008B29C8">
        <w:rPr>
          <w:rFonts w:cs="Arial"/>
        </w:rPr>
        <w:t>at different stages in</w:t>
      </w:r>
      <w:r>
        <w:rPr>
          <w:rFonts w:cs="Arial"/>
        </w:rPr>
        <w:t xml:space="preserve"> its</w:t>
      </w:r>
      <w:r w:rsidRPr="008B29C8" w:rsidDel="00A619E8">
        <w:rPr>
          <w:rFonts w:cs="Arial"/>
        </w:rPr>
        <w:t xml:space="preserve"> </w:t>
      </w:r>
      <w:r>
        <w:rPr>
          <w:rFonts w:cs="Arial"/>
        </w:rPr>
        <w:t>preparation by</w:t>
      </w:r>
      <w:r w:rsidRPr="008B29C8">
        <w:rPr>
          <w:rFonts w:cs="Arial"/>
        </w:rPr>
        <w:t xml:space="preserve"> two leisure industry consultants</w:t>
      </w:r>
      <w:r>
        <w:rPr>
          <w:rFonts w:cs="Arial"/>
        </w:rPr>
        <w:t xml:space="preserve">. </w:t>
      </w:r>
    </w:p>
    <w:p w14:paraId="7601E882" w14:textId="4E8B072C" w:rsidR="00460823" w:rsidRPr="00DF1789" w:rsidRDefault="00460823" w:rsidP="00430B64">
      <w:pPr>
        <w:pStyle w:val="ListParagraph"/>
        <w:numPr>
          <w:ilvl w:val="0"/>
          <w:numId w:val="7"/>
        </w:numPr>
        <w:ind w:left="426" w:hanging="426"/>
        <w:jc w:val="both"/>
      </w:pPr>
      <w:r>
        <w:t xml:space="preserve">The </w:t>
      </w:r>
      <w:r w:rsidRPr="00952516">
        <w:rPr>
          <w:color w:val="auto"/>
        </w:rPr>
        <w:t xml:space="preserve">report of the in-house delivery proposal is attached </w:t>
      </w:r>
      <w:r w:rsidRPr="007917FC">
        <w:t xml:space="preserve">at </w:t>
      </w:r>
      <w:r w:rsidRPr="00952516">
        <w:rPr>
          <w:b/>
          <w:color w:val="auto"/>
        </w:rPr>
        <w:t>Appendix 2.</w:t>
      </w:r>
      <w:r w:rsidRPr="00952516">
        <w:rPr>
          <w:color w:val="FF0000"/>
        </w:rPr>
        <w:t xml:space="preserve"> </w:t>
      </w:r>
      <w:r w:rsidRPr="00952516">
        <w:rPr>
          <w:color w:val="auto"/>
        </w:rPr>
        <w:t xml:space="preserve">It </w:t>
      </w:r>
      <w:r>
        <w:t>shows that the in-house arrangements scored well against the ‘qualitative’ element of the criteria, especially around delivery of close working with local partners and community services; good s</w:t>
      </w:r>
      <w:r w:rsidRPr="00952516">
        <w:rPr>
          <w:rFonts w:cs="Arial"/>
        </w:rPr>
        <w:t>taff terms and conditions; good customer participation and services; and health and safety focus</w:t>
      </w:r>
      <w:r w:rsidRPr="00DF1789">
        <w:t xml:space="preserve">. </w:t>
      </w:r>
      <w:r>
        <w:t xml:space="preserve">Council arrangements are also likely to be adaptable to deal with social and legislative changes. </w:t>
      </w:r>
      <w:r w:rsidRPr="00DF1789">
        <w:t xml:space="preserve">  </w:t>
      </w:r>
    </w:p>
    <w:p w14:paraId="49E04973" w14:textId="2A372C57" w:rsidR="00CB0710" w:rsidRPr="00A262EE" w:rsidRDefault="00CB0710" w:rsidP="00430B64">
      <w:pPr>
        <w:pStyle w:val="ListParagraph"/>
        <w:numPr>
          <w:ilvl w:val="0"/>
          <w:numId w:val="7"/>
        </w:numPr>
        <w:tabs>
          <w:tab w:val="clear" w:pos="426"/>
        </w:tabs>
        <w:ind w:left="426" w:hanging="426"/>
        <w:jc w:val="both"/>
        <w:rPr>
          <w:rFonts w:cs="Arial"/>
        </w:rPr>
      </w:pPr>
      <w:r>
        <w:t xml:space="preserve">However, the costs of delivering the in-house arrangements are significant and would not be affordable. </w:t>
      </w:r>
      <w:r w:rsidRPr="33BC0800">
        <w:rPr>
          <w:rFonts w:cs="Arial"/>
        </w:rPr>
        <w:t xml:space="preserve"> We estimate that an effective in-house operation would require significant upfront investment and </w:t>
      </w:r>
      <w:r w:rsidRPr="31619BB5">
        <w:rPr>
          <w:rFonts w:cs="Arial"/>
        </w:rPr>
        <w:t xml:space="preserve">an </w:t>
      </w:r>
      <w:r w:rsidRPr="33BC0800">
        <w:rPr>
          <w:rFonts w:cs="Arial"/>
        </w:rPr>
        <w:t>annual net operating costs to the Council of approx</w:t>
      </w:r>
      <w:r w:rsidRPr="2958F166">
        <w:rPr>
          <w:rFonts w:cs="Arial"/>
        </w:rPr>
        <w:t>.</w:t>
      </w:r>
      <w:r w:rsidRPr="33BC0800">
        <w:rPr>
          <w:rFonts w:cs="Arial"/>
        </w:rPr>
        <w:t xml:space="preserve"> £1.75m over the next 10-year period</w:t>
      </w:r>
      <w:r w:rsidRPr="57ED982C">
        <w:rPr>
          <w:rFonts w:cs="Arial"/>
        </w:rPr>
        <w:t xml:space="preserve"> (minus annual net invest to save income of c£150k).</w:t>
      </w:r>
      <w:r w:rsidRPr="33BC0800">
        <w:rPr>
          <w:rFonts w:cs="Arial"/>
        </w:rPr>
        <w:t xml:space="preserve">  This is significantly outside the </w:t>
      </w:r>
      <w:r w:rsidR="00752634">
        <w:rPr>
          <w:rFonts w:cs="Arial"/>
        </w:rPr>
        <w:t>C</w:t>
      </w:r>
      <w:r w:rsidRPr="33BC0800">
        <w:rPr>
          <w:rFonts w:cs="Arial"/>
        </w:rPr>
        <w:t>ouncil’s budget expectations of an annual income of £500k</w:t>
      </w:r>
      <w:r w:rsidRPr="31619BB5">
        <w:rPr>
          <w:rFonts w:cs="Arial"/>
        </w:rPr>
        <w:t xml:space="preserve">.  </w:t>
      </w:r>
    </w:p>
    <w:p w14:paraId="3F6AD9EC" w14:textId="77777777" w:rsidR="00782842" w:rsidRPr="0069076B" w:rsidRDefault="00782842" w:rsidP="00430B64">
      <w:pPr>
        <w:pStyle w:val="ListParagraph"/>
        <w:numPr>
          <w:ilvl w:val="0"/>
          <w:numId w:val="7"/>
        </w:numPr>
        <w:tabs>
          <w:tab w:val="clear" w:pos="426"/>
        </w:tabs>
        <w:spacing w:after="0"/>
        <w:ind w:left="426" w:hanging="426"/>
        <w:jc w:val="both"/>
      </w:pPr>
      <w:r>
        <w:rPr>
          <w:rFonts w:cs="Arial"/>
        </w:rPr>
        <w:t>We found that t</w:t>
      </w:r>
      <w:r w:rsidRPr="0069076B">
        <w:rPr>
          <w:rFonts w:cs="Arial"/>
        </w:rPr>
        <w:t>he</w:t>
      </w:r>
      <w:r>
        <w:rPr>
          <w:rFonts w:cs="Arial"/>
        </w:rPr>
        <w:t xml:space="preserve"> </w:t>
      </w:r>
      <w:r w:rsidRPr="0069076B">
        <w:rPr>
          <w:rFonts w:cs="Arial"/>
        </w:rPr>
        <w:t xml:space="preserve">high costs </w:t>
      </w:r>
      <w:r>
        <w:rPr>
          <w:rFonts w:cs="Arial"/>
        </w:rPr>
        <w:t xml:space="preserve">of the </w:t>
      </w:r>
      <w:r w:rsidRPr="31619BB5">
        <w:rPr>
          <w:rFonts w:cs="Arial"/>
        </w:rPr>
        <w:t xml:space="preserve">in-house </w:t>
      </w:r>
      <w:r>
        <w:rPr>
          <w:rFonts w:cs="Arial"/>
        </w:rPr>
        <w:t xml:space="preserve">proposal </w:t>
      </w:r>
      <w:r w:rsidRPr="31619BB5">
        <w:rPr>
          <w:rFonts w:cs="Arial"/>
        </w:rPr>
        <w:t>result</w:t>
      </w:r>
      <w:r>
        <w:rPr>
          <w:rFonts w:cs="Arial"/>
        </w:rPr>
        <w:t xml:space="preserve"> mainly from:</w:t>
      </w:r>
    </w:p>
    <w:p w14:paraId="64CC75D5" w14:textId="2669D238" w:rsidR="00952516" w:rsidRPr="00AF6464" w:rsidRDefault="00952516" w:rsidP="00430B64">
      <w:pPr>
        <w:pStyle w:val="ListParagraph"/>
        <w:numPr>
          <w:ilvl w:val="0"/>
          <w:numId w:val="11"/>
        </w:numPr>
        <w:tabs>
          <w:tab w:val="clear" w:pos="426"/>
        </w:tabs>
        <w:spacing w:before="120" w:after="0"/>
        <w:jc w:val="both"/>
        <w:rPr>
          <w:rFonts w:cs="Arial"/>
          <w:color w:val="000000" w:themeColor="text1"/>
        </w:rPr>
      </w:pPr>
      <w:r>
        <w:rPr>
          <w:rFonts w:cs="Arial"/>
        </w:rPr>
        <w:t>T</w:t>
      </w:r>
      <w:r w:rsidRPr="31619BB5">
        <w:rPr>
          <w:rFonts w:cs="Arial"/>
        </w:rPr>
        <w:t xml:space="preserve">aking longer to mobilise and fully insource the services – we estimate more than six months and therefore great costs (compared to around three months for external leisure operators); </w:t>
      </w:r>
    </w:p>
    <w:p w14:paraId="6A8E3420" w14:textId="6E251706" w:rsidR="00AF6464" w:rsidRPr="008B29C8" w:rsidRDefault="00DD0ACD" w:rsidP="00430B64">
      <w:pPr>
        <w:pStyle w:val="ListParagraph"/>
        <w:numPr>
          <w:ilvl w:val="0"/>
          <w:numId w:val="11"/>
        </w:numPr>
        <w:tabs>
          <w:tab w:val="clear" w:pos="426"/>
        </w:tabs>
        <w:spacing w:before="120" w:after="0"/>
        <w:jc w:val="both"/>
        <w:rPr>
          <w:rFonts w:cs="Arial"/>
        </w:rPr>
      </w:pPr>
      <w:r>
        <w:rPr>
          <w:rFonts w:cs="Arial"/>
        </w:rPr>
        <w:t>N</w:t>
      </w:r>
      <w:r w:rsidR="00AF6464">
        <w:rPr>
          <w:rFonts w:cs="Arial"/>
        </w:rPr>
        <w:t xml:space="preserve">ot being able to </w:t>
      </w:r>
      <w:r w:rsidR="00AF6464" w:rsidRPr="008B29C8">
        <w:rPr>
          <w:rFonts w:cs="Arial"/>
        </w:rPr>
        <w:t>realis</w:t>
      </w:r>
      <w:r w:rsidR="00AF6464">
        <w:rPr>
          <w:rFonts w:cs="Arial"/>
        </w:rPr>
        <w:t>e</w:t>
      </w:r>
      <w:r w:rsidR="00AF6464" w:rsidRPr="008B29C8">
        <w:rPr>
          <w:rFonts w:cs="Arial"/>
        </w:rPr>
        <w:t xml:space="preserve"> </w:t>
      </w:r>
      <w:r w:rsidR="00AF6464">
        <w:rPr>
          <w:rFonts w:cs="Arial"/>
        </w:rPr>
        <w:t xml:space="preserve">higher </w:t>
      </w:r>
      <w:r w:rsidR="00AF6464" w:rsidRPr="008B29C8">
        <w:rPr>
          <w:rFonts w:cs="Arial"/>
        </w:rPr>
        <w:t xml:space="preserve">income levels </w:t>
      </w:r>
      <w:r w:rsidR="00AF6464">
        <w:rPr>
          <w:rFonts w:cs="Arial"/>
        </w:rPr>
        <w:t xml:space="preserve">in the early years of the contract, </w:t>
      </w:r>
      <w:r w:rsidR="00AF6464" w:rsidRPr="008B29C8">
        <w:rPr>
          <w:rFonts w:cs="Arial"/>
        </w:rPr>
        <w:t xml:space="preserve">particularly </w:t>
      </w:r>
      <w:r w:rsidR="00AF6464">
        <w:rPr>
          <w:rFonts w:cs="Arial"/>
        </w:rPr>
        <w:t xml:space="preserve">to grow </w:t>
      </w:r>
      <w:r w:rsidR="00AF6464" w:rsidRPr="008B29C8">
        <w:rPr>
          <w:rFonts w:cs="Arial"/>
        </w:rPr>
        <w:t>membership sales</w:t>
      </w:r>
      <w:r w:rsidR="00AF6464">
        <w:rPr>
          <w:rFonts w:cs="Arial"/>
        </w:rPr>
        <w:t>;</w:t>
      </w:r>
    </w:p>
    <w:p w14:paraId="6EA659AE" w14:textId="03CDF0B7" w:rsidR="00F000CD" w:rsidRDefault="00DD0ACD" w:rsidP="00430B64">
      <w:pPr>
        <w:pStyle w:val="ListParagraph"/>
        <w:numPr>
          <w:ilvl w:val="0"/>
          <w:numId w:val="11"/>
        </w:numPr>
        <w:tabs>
          <w:tab w:val="clear" w:pos="426"/>
        </w:tabs>
        <w:spacing w:before="120" w:after="0"/>
        <w:jc w:val="both"/>
        <w:rPr>
          <w:rFonts w:cs="Arial"/>
          <w:color w:val="000000" w:themeColor="text1"/>
        </w:rPr>
      </w:pPr>
      <w:r>
        <w:rPr>
          <w:rFonts w:eastAsia="Arial" w:cs="Arial"/>
          <w:color w:val="000000" w:themeColor="text1"/>
        </w:rPr>
        <w:t>L</w:t>
      </w:r>
      <w:r w:rsidR="00F000CD" w:rsidRPr="31619BB5">
        <w:rPr>
          <w:rFonts w:eastAsia="Arial" w:cs="Arial"/>
          <w:color w:val="000000" w:themeColor="text1"/>
        </w:rPr>
        <w:t xml:space="preserve">ack of existing critical mass and access to supply chains would create significant costs for several years; </w:t>
      </w:r>
      <w:r w:rsidR="00F000CD" w:rsidRPr="31619BB5">
        <w:rPr>
          <w:rFonts w:eastAsia="Arial" w:cs="Arial"/>
        </w:rPr>
        <w:t xml:space="preserve">and  </w:t>
      </w:r>
    </w:p>
    <w:p w14:paraId="1A68D3D8" w14:textId="06AFFF9E" w:rsidR="00DD0ACD" w:rsidRDefault="00DD0ACD" w:rsidP="00430B64">
      <w:pPr>
        <w:pStyle w:val="ListParagraph"/>
        <w:numPr>
          <w:ilvl w:val="0"/>
          <w:numId w:val="11"/>
        </w:numPr>
        <w:tabs>
          <w:tab w:val="clear" w:pos="426"/>
        </w:tabs>
        <w:spacing w:before="120"/>
        <w:jc w:val="both"/>
        <w:rPr>
          <w:rFonts w:cs="Arial"/>
          <w:color w:val="000000" w:themeColor="text1"/>
        </w:rPr>
      </w:pPr>
      <w:r>
        <w:rPr>
          <w:rFonts w:cs="Arial"/>
        </w:rPr>
        <w:t>F</w:t>
      </w:r>
      <w:r w:rsidRPr="31619BB5">
        <w:rPr>
          <w:rFonts w:cs="Arial"/>
        </w:rPr>
        <w:t>acing higher mobilisation costs due in large part to fewer economies, and greater costs of ICT and data transfer compared to the market and longer implementation timescales.</w:t>
      </w:r>
    </w:p>
    <w:p w14:paraId="48BE42A2" w14:textId="7F97AEFF" w:rsidR="00C57BEC" w:rsidRDefault="00C57BEC" w:rsidP="00430B64">
      <w:pPr>
        <w:pStyle w:val="ListParagraph"/>
        <w:numPr>
          <w:ilvl w:val="0"/>
          <w:numId w:val="7"/>
        </w:numPr>
        <w:tabs>
          <w:tab w:val="clear" w:pos="426"/>
        </w:tabs>
        <w:spacing w:after="0"/>
        <w:ind w:left="426" w:hanging="426"/>
        <w:jc w:val="both"/>
        <w:rPr>
          <w:rFonts w:cs="Arial"/>
        </w:rPr>
      </w:pPr>
      <w:r>
        <w:t xml:space="preserve">Our findings reflect the experience of </w:t>
      </w:r>
      <w:r w:rsidRPr="00187898">
        <w:rPr>
          <w:rFonts w:cs="Arial"/>
        </w:rPr>
        <w:t xml:space="preserve">other local authorities that have in-sourced their leisure services, who found it took longer to in-source and was more expensive to operate leisure services on return to </w:t>
      </w:r>
      <w:r w:rsidR="00752634">
        <w:rPr>
          <w:rFonts w:cs="Arial"/>
        </w:rPr>
        <w:t>C</w:t>
      </w:r>
      <w:r w:rsidRPr="00187898">
        <w:rPr>
          <w:rFonts w:cs="Arial"/>
        </w:rPr>
        <w:t>ouncil management.</w:t>
      </w:r>
    </w:p>
    <w:p w14:paraId="305C2498" w14:textId="77777777" w:rsidR="00CB22C9" w:rsidRDefault="00CB22C9" w:rsidP="00430B64">
      <w:pPr>
        <w:pStyle w:val="ListParagraph"/>
        <w:numPr>
          <w:ilvl w:val="0"/>
          <w:numId w:val="7"/>
        </w:numPr>
        <w:shd w:val="clear" w:color="auto" w:fill="FFFFFF" w:themeFill="background1"/>
        <w:tabs>
          <w:tab w:val="clear" w:pos="426"/>
        </w:tabs>
        <w:spacing w:after="0"/>
        <w:ind w:left="426" w:hanging="426"/>
        <w:jc w:val="both"/>
        <w:textAlignment w:val="baseline"/>
        <w:rPr>
          <w:rFonts w:cs="Arial"/>
          <w:bdr w:val="none" w:sz="0" w:space="0" w:color="auto" w:frame="1"/>
        </w:rPr>
      </w:pPr>
      <w:bookmarkStart w:id="2" w:name="_Ref155197961"/>
      <w:r>
        <w:rPr>
          <w:rFonts w:cs="Arial"/>
          <w:bdr w:val="none" w:sz="0" w:space="0" w:color="auto" w:frame="1"/>
        </w:rPr>
        <w:t xml:space="preserve">The </w:t>
      </w:r>
      <w:r w:rsidRPr="004B40BB">
        <w:rPr>
          <w:rFonts w:cs="Arial"/>
          <w:b/>
          <w:bCs/>
          <w:color w:val="000000" w:themeColor="text1"/>
          <w:bdr w:val="none" w:sz="0" w:space="0" w:color="auto" w:frame="1"/>
        </w:rPr>
        <w:t xml:space="preserve">report concludes that it would not </w:t>
      </w:r>
      <w:r w:rsidRPr="004B40BB">
        <w:rPr>
          <w:rFonts w:cs="Arial"/>
          <w:b/>
          <w:bCs/>
          <w:color w:val="000000" w:themeColor="text1"/>
        </w:rPr>
        <w:t>be feasible</w:t>
      </w:r>
      <w:r w:rsidRPr="004B40BB">
        <w:rPr>
          <w:rFonts w:cs="Arial"/>
          <w:b/>
          <w:bCs/>
          <w:color w:val="000000" w:themeColor="text1"/>
          <w:bdr w:val="none" w:sz="0" w:space="0" w:color="auto" w:frame="1"/>
        </w:rPr>
        <w:t xml:space="preserve"> to in-source the future delivery of leisure services - it would not be financially sustainable. </w:t>
      </w:r>
      <w:r>
        <w:rPr>
          <w:rFonts w:cs="Arial"/>
          <w:bdr w:val="none" w:sz="0" w:space="0" w:color="auto" w:frame="1"/>
        </w:rPr>
        <w:t>Mobilising for the transfer of services would be especially challenging for in</w:t>
      </w:r>
      <w:r w:rsidRPr="2958F166">
        <w:rPr>
          <w:rFonts w:cs="Arial"/>
        </w:rPr>
        <w:t>-</w:t>
      </w:r>
      <w:r>
        <w:rPr>
          <w:rFonts w:cs="Arial"/>
          <w:bdr w:val="none" w:sz="0" w:space="0" w:color="auto" w:frame="1"/>
        </w:rPr>
        <w:t xml:space="preserve">house arrangements, which take longer to set up and cost more. There would also be real risks of “switch-over” falls in service quality and increases in customer complaints </w:t>
      </w:r>
      <w:r>
        <w:rPr>
          <w:rFonts w:cs="Arial"/>
          <w:bdr w:val="none" w:sz="0" w:space="0" w:color="auto" w:frame="1"/>
        </w:rPr>
        <w:lastRenderedPageBreak/>
        <w:t>over the early months. These would, therefore, bring significant risks to the Council’s reputation.</w:t>
      </w:r>
      <w:bookmarkEnd w:id="2"/>
      <w:r>
        <w:rPr>
          <w:rFonts w:cs="Arial"/>
          <w:bdr w:val="none" w:sz="0" w:space="0" w:color="auto" w:frame="1"/>
        </w:rPr>
        <w:t xml:space="preserve"> </w:t>
      </w:r>
    </w:p>
    <w:p w14:paraId="1500820F" w14:textId="77777777" w:rsidR="00BC1E76" w:rsidRDefault="00BC1E76" w:rsidP="00BC1E76">
      <w:pPr>
        <w:shd w:val="clear" w:color="auto" w:fill="FFFFFF" w:themeFill="background1"/>
        <w:spacing w:after="0"/>
        <w:textAlignment w:val="baseline"/>
        <w:rPr>
          <w:rFonts w:cs="Arial"/>
          <w:bdr w:val="none" w:sz="0" w:space="0" w:color="auto" w:frame="1"/>
        </w:rPr>
      </w:pPr>
    </w:p>
    <w:p w14:paraId="52B3D9A4" w14:textId="424F2FF0" w:rsidR="00BC1E76" w:rsidRPr="00BC1E76" w:rsidRDefault="00BC1E76" w:rsidP="00093263">
      <w:pPr>
        <w:shd w:val="clear" w:color="auto" w:fill="FFFFFF" w:themeFill="background1"/>
        <w:textAlignment w:val="baseline"/>
        <w:rPr>
          <w:rFonts w:cs="Arial"/>
          <w:u w:val="single"/>
          <w:bdr w:val="none" w:sz="0" w:space="0" w:color="auto" w:frame="1"/>
        </w:rPr>
      </w:pPr>
      <w:r>
        <w:rPr>
          <w:rFonts w:cs="Arial"/>
          <w:u w:val="single"/>
          <w:bdr w:val="none" w:sz="0" w:space="0" w:color="auto" w:frame="1"/>
        </w:rPr>
        <w:t>Formal Tender Procurement Exercise</w:t>
      </w:r>
    </w:p>
    <w:p w14:paraId="606126FC" w14:textId="77777777" w:rsidR="00093263" w:rsidRPr="007A6FCB" w:rsidRDefault="00093263" w:rsidP="00430B64">
      <w:pPr>
        <w:pStyle w:val="ListParagraph"/>
        <w:numPr>
          <w:ilvl w:val="0"/>
          <w:numId w:val="7"/>
        </w:numPr>
        <w:shd w:val="clear" w:color="auto" w:fill="FFFFFF" w:themeFill="background1"/>
        <w:tabs>
          <w:tab w:val="clear" w:pos="426"/>
        </w:tabs>
        <w:ind w:left="426" w:hanging="426"/>
        <w:jc w:val="both"/>
        <w:textAlignment w:val="baseline"/>
        <w:rPr>
          <w:rFonts w:cs="Arial"/>
          <w:color w:val="000000" w:themeColor="text1"/>
          <w:bdr w:val="none" w:sz="0" w:space="0" w:color="auto" w:frame="1"/>
        </w:rPr>
      </w:pPr>
      <w:r>
        <w:rPr>
          <w:rFonts w:cs="Arial"/>
          <w:bdr w:val="none" w:sz="0" w:space="0" w:color="auto" w:frame="1"/>
        </w:rPr>
        <w:t xml:space="preserve">The Council has </w:t>
      </w:r>
      <w:r w:rsidRPr="00CB7F7D">
        <w:rPr>
          <w:rFonts w:cs="Arial"/>
          <w:bdr w:val="none" w:sz="0" w:space="0" w:color="auto" w:frame="1"/>
        </w:rPr>
        <w:t>a duty to deliver best value</w:t>
      </w:r>
      <w:r>
        <w:rPr>
          <w:rFonts w:cs="Arial"/>
          <w:bdr w:val="none" w:sz="0" w:space="0" w:color="auto" w:frame="1"/>
        </w:rPr>
        <w:t xml:space="preserve"> in its arrangements for the provision of its services and functions</w:t>
      </w:r>
      <w:r w:rsidRPr="00CB7F7D">
        <w:rPr>
          <w:rFonts w:cs="Arial"/>
          <w:bdr w:val="none" w:sz="0" w:space="0" w:color="auto" w:frame="1"/>
        </w:rPr>
        <w:t>. When</w:t>
      </w:r>
      <w:r w:rsidRPr="2958F166">
        <w:rPr>
          <w:rFonts w:cs="Arial"/>
        </w:rPr>
        <w:t xml:space="preserve"> procuring</w:t>
      </w:r>
      <w:r w:rsidRPr="00CB7F7D">
        <w:rPr>
          <w:rFonts w:cs="Arial"/>
          <w:bdr w:val="none" w:sz="0" w:space="0" w:color="auto" w:frame="1"/>
        </w:rPr>
        <w:t xml:space="preserve"> contracts this is achieved by carrying out a competitive tendering process which allows the Council to assess offers from the market against its chosen criteria on a like-for-like basis. The bid achieving the best score against the Council’s criteria becomes the Council’s preferred bid</w:t>
      </w:r>
      <w:r>
        <w:rPr>
          <w:rFonts w:cs="Arial"/>
          <w:bdr w:val="none" w:sz="0" w:space="0" w:color="auto" w:frame="1"/>
        </w:rPr>
        <w:t xml:space="preserve"> and the Council may not award the contract to another qualifying bidder</w:t>
      </w:r>
      <w:r w:rsidRPr="00CB7F7D">
        <w:rPr>
          <w:rFonts w:cs="Arial"/>
          <w:bdr w:val="none" w:sz="0" w:space="0" w:color="auto" w:frame="1"/>
        </w:rPr>
        <w:t xml:space="preserve">. The law requires that </w:t>
      </w:r>
      <w:r w:rsidRPr="2958F166">
        <w:rPr>
          <w:rFonts w:cs="Arial"/>
        </w:rPr>
        <w:t>contracts of the nature discussed in this report are procured</w:t>
      </w:r>
      <w:r w:rsidRPr="00CB7F7D">
        <w:rPr>
          <w:rFonts w:cs="Arial"/>
          <w:bdr w:val="none" w:sz="0" w:space="0" w:color="auto" w:frame="1"/>
        </w:rPr>
        <w:t xml:space="preserve"> following prescribed procedures. The process conducted to procure the Leisure Services Contract has complied with </w:t>
      </w:r>
      <w:r w:rsidRPr="0A386F91">
        <w:rPr>
          <w:rFonts w:cs="Arial"/>
        </w:rPr>
        <w:t>the Council’s procurement policies and with the legal framework.</w:t>
      </w:r>
    </w:p>
    <w:p w14:paraId="7D59ED4A" w14:textId="12C0C133" w:rsidR="0044717A" w:rsidRDefault="0044717A" w:rsidP="00430B64">
      <w:pPr>
        <w:pStyle w:val="ListParagraph"/>
        <w:numPr>
          <w:ilvl w:val="0"/>
          <w:numId w:val="7"/>
        </w:numPr>
        <w:shd w:val="clear" w:color="auto" w:fill="FFFFFF" w:themeFill="background1"/>
        <w:tabs>
          <w:tab w:val="clear" w:pos="426"/>
        </w:tabs>
        <w:spacing w:after="0"/>
        <w:ind w:left="426" w:hanging="426"/>
        <w:jc w:val="both"/>
        <w:textAlignment w:val="baseline"/>
        <w:rPr>
          <w:rFonts w:cs="Arial"/>
          <w:bdr w:val="none" w:sz="0" w:space="0" w:color="auto" w:frame="1"/>
        </w:rPr>
      </w:pPr>
      <w:r>
        <w:rPr>
          <w:rFonts w:cs="Arial"/>
          <w:bdr w:val="none" w:sz="0" w:space="0" w:color="auto" w:frame="1"/>
        </w:rPr>
        <w:t>A project team of officers</w:t>
      </w:r>
      <w:r w:rsidDel="00D70024">
        <w:rPr>
          <w:rFonts w:cs="Arial"/>
          <w:bdr w:val="none" w:sz="0" w:space="0" w:color="auto" w:frame="1"/>
        </w:rPr>
        <w:t xml:space="preserve"> </w:t>
      </w:r>
      <w:r>
        <w:rPr>
          <w:rFonts w:cs="Arial"/>
          <w:bdr w:val="none" w:sz="0" w:space="0" w:color="auto" w:frame="1"/>
        </w:rPr>
        <w:t xml:space="preserve">from across the </w:t>
      </w:r>
      <w:r w:rsidR="00752634">
        <w:rPr>
          <w:rFonts w:cs="Arial"/>
          <w:bdr w:val="none" w:sz="0" w:space="0" w:color="auto" w:frame="1"/>
        </w:rPr>
        <w:t>C</w:t>
      </w:r>
      <w:r>
        <w:rPr>
          <w:rFonts w:cs="Arial"/>
          <w:bdr w:val="none" w:sz="0" w:space="0" w:color="auto" w:frame="1"/>
        </w:rPr>
        <w:t xml:space="preserve">ouncil - including legal, finance, property, procurement and leisure services, was established to steer the procurement exercise, and to assess and evaluate tender proposals. In addition, a </w:t>
      </w:r>
      <w:r w:rsidRPr="008B29C8">
        <w:rPr>
          <w:rFonts w:cs="Arial"/>
          <w:bdr w:val="none" w:sz="0" w:space="0" w:color="auto" w:frame="1"/>
        </w:rPr>
        <w:t>cross</w:t>
      </w:r>
      <w:r w:rsidRPr="2958F166">
        <w:rPr>
          <w:rFonts w:cs="Arial"/>
        </w:rPr>
        <w:t>-</w:t>
      </w:r>
      <w:r w:rsidRPr="008B29C8">
        <w:rPr>
          <w:rFonts w:cs="Arial"/>
          <w:bdr w:val="none" w:sz="0" w:space="0" w:color="auto" w:frame="1"/>
        </w:rPr>
        <w:t xml:space="preserve">party steering group </w:t>
      </w:r>
      <w:r>
        <w:rPr>
          <w:rFonts w:cs="Arial"/>
          <w:bdr w:val="none" w:sz="0" w:space="0" w:color="auto" w:frame="1"/>
        </w:rPr>
        <w:t xml:space="preserve">was also set up </w:t>
      </w:r>
      <w:r w:rsidRPr="008B29C8">
        <w:rPr>
          <w:rFonts w:cs="Arial"/>
          <w:bdr w:val="none" w:sz="0" w:space="0" w:color="auto" w:frame="1"/>
        </w:rPr>
        <w:t>to help advise the process and provide constructive challenge</w:t>
      </w:r>
      <w:r>
        <w:rPr>
          <w:rFonts w:cs="Arial"/>
          <w:bdr w:val="none" w:sz="0" w:space="0" w:color="auto" w:frame="1"/>
        </w:rPr>
        <w:t xml:space="preserve"> throughout</w:t>
      </w:r>
      <w:r w:rsidRPr="008B29C8">
        <w:rPr>
          <w:rFonts w:cs="Arial"/>
          <w:bdr w:val="none" w:sz="0" w:space="0" w:color="auto" w:frame="1"/>
        </w:rPr>
        <w:t>.</w:t>
      </w:r>
    </w:p>
    <w:p w14:paraId="641818BB" w14:textId="77777777" w:rsidR="00A3517B" w:rsidRPr="008B29C8" w:rsidRDefault="00A3517B" w:rsidP="00A3517B">
      <w:pPr>
        <w:pStyle w:val="ListParagraph"/>
        <w:numPr>
          <w:ilvl w:val="0"/>
          <w:numId w:val="0"/>
        </w:numPr>
        <w:shd w:val="clear" w:color="auto" w:fill="FFFFFF" w:themeFill="background1"/>
        <w:tabs>
          <w:tab w:val="clear" w:pos="426"/>
        </w:tabs>
        <w:spacing w:after="0"/>
        <w:ind w:left="426"/>
        <w:textAlignment w:val="baseline"/>
        <w:rPr>
          <w:rFonts w:cs="Arial"/>
          <w:bdr w:val="none" w:sz="0" w:space="0" w:color="auto" w:frame="1"/>
        </w:rPr>
      </w:pPr>
    </w:p>
    <w:p w14:paraId="2D4FD43F" w14:textId="4773C4E5" w:rsidR="00AF6464" w:rsidRPr="00110E58" w:rsidRDefault="00110E58" w:rsidP="00A3517B">
      <w:pPr>
        <w:spacing w:before="120"/>
        <w:ind w:left="426" w:hanging="426"/>
        <w:rPr>
          <w:rFonts w:cs="Arial"/>
          <w:color w:val="000000" w:themeColor="text1"/>
          <w:u w:val="single"/>
        </w:rPr>
      </w:pPr>
      <w:r>
        <w:rPr>
          <w:rFonts w:cs="Arial"/>
          <w:color w:val="000000" w:themeColor="text1"/>
          <w:u w:val="single"/>
        </w:rPr>
        <w:t>Tender Procurement Process</w:t>
      </w:r>
    </w:p>
    <w:p w14:paraId="3D7A1D10" w14:textId="77777777" w:rsidR="00A3517B" w:rsidRPr="00767F0C" w:rsidRDefault="00A3517B" w:rsidP="00430B64">
      <w:pPr>
        <w:pStyle w:val="ListParagraph"/>
        <w:numPr>
          <w:ilvl w:val="0"/>
          <w:numId w:val="7"/>
        </w:numPr>
        <w:tabs>
          <w:tab w:val="clear" w:pos="426"/>
        </w:tabs>
        <w:ind w:left="425" w:hanging="425"/>
        <w:jc w:val="both"/>
      </w:pPr>
      <w:r w:rsidRPr="000B6AA8">
        <w:rPr>
          <w:rFonts w:cs="Arial"/>
          <w:bdr w:val="none" w:sz="0" w:space="0" w:color="auto" w:frame="1"/>
        </w:rPr>
        <w:t xml:space="preserve">The Council used the Sport England leisure procurement framework, which is the industry standard, and adapted it to reflect our local needs. At the start of the tender process the project team </w:t>
      </w:r>
      <w:r>
        <w:rPr>
          <w:rFonts w:cs="Arial"/>
          <w:bdr w:val="none" w:sz="0" w:space="0" w:color="auto" w:frame="1"/>
        </w:rPr>
        <w:t xml:space="preserve">also </w:t>
      </w:r>
      <w:r w:rsidRPr="000B6AA8">
        <w:rPr>
          <w:rFonts w:cs="Arial"/>
          <w:bdr w:val="none" w:sz="0" w:space="0" w:color="auto" w:frame="1"/>
        </w:rPr>
        <w:t>invited prospective bidders to a market day to talk about our ambitions and to g</w:t>
      </w:r>
      <w:r>
        <w:rPr>
          <w:rFonts w:cs="Arial"/>
          <w:bdr w:val="none" w:sz="0" w:space="0" w:color="auto" w:frame="1"/>
        </w:rPr>
        <w:t>ain</w:t>
      </w:r>
      <w:r w:rsidRPr="000B6AA8">
        <w:rPr>
          <w:rFonts w:cs="Arial"/>
          <w:bdr w:val="none" w:sz="0" w:space="0" w:color="auto" w:frame="1"/>
        </w:rPr>
        <w:t xml:space="preserve"> feedback</w:t>
      </w:r>
      <w:r>
        <w:rPr>
          <w:rFonts w:cs="Arial"/>
          <w:bdr w:val="none" w:sz="0" w:space="0" w:color="auto" w:frame="1"/>
        </w:rPr>
        <w:t>. T</w:t>
      </w:r>
      <w:r w:rsidRPr="00456EF1">
        <w:rPr>
          <w:bdr w:val="none" w:sz="0" w:space="0" w:color="auto" w:frame="1"/>
        </w:rPr>
        <w:t>he</w:t>
      </w:r>
      <w:r>
        <w:rPr>
          <w:bdr w:val="none" w:sz="0" w:space="0" w:color="auto" w:frame="1"/>
        </w:rPr>
        <w:t xml:space="preserve"> project</w:t>
      </w:r>
      <w:r w:rsidRPr="00456EF1">
        <w:rPr>
          <w:bdr w:val="none" w:sz="0" w:space="0" w:color="auto" w:frame="1"/>
        </w:rPr>
        <w:t xml:space="preserve"> team prepared the tender specification which was then launched through an invitation to </w:t>
      </w:r>
      <w:r>
        <w:rPr>
          <w:bdr w:val="none" w:sz="0" w:space="0" w:color="auto" w:frame="1"/>
        </w:rPr>
        <w:t xml:space="preserve">prospective bidders to </w:t>
      </w:r>
      <w:r w:rsidRPr="00456EF1">
        <w:rPr>
          <w:bdr w:val="none" w:sz="0" w:space="0" w:color="auto" w:frame="1"/>
        </w:rPr>
        <w:t xml:space="preserve">engage in </w:t>
      </w:r>
      <w:r>
        <w:rPr>
          <w:bdr w:val="none" w:sz="0" w:space="0" w:color="auto" w:frame="1"/>
        </w:rPr>
        <w:t xml:space="preserve">a </w:t>
      </w:r>
      <w:r w:rsidRPr="00456EF1">
        <w:rPr>
          <w:bdr w:val="none" w:sz="0" w:space="0" w:color="auto" w:frame="1"/>
        </w:rPr>
        <w:t>competitive dialogue tender</w:t>
      </w:r>
      <w:r>
        <w:rPr>
          <w:bdr w:val="none" w:sz="0" w:space="0" w:color="auto" w:frame="1"/>
        </w:rPr>
        <w:t xml:space="preserve"> process.</w:t>
      </w:r>
    </w:p>
    <w:p w14:paraId="0BD17AF8" w14:textId="77777777" w:rsidR="00DE07FA" w:rsidRPr="00F33DE3" w:rsidRDefault="00DE07FA" w:rsidP="00430B64">
      <w:pPr>
        <w:pStyle w:val="ListParagraph"/>
        <w:numPr>
          <w:ilvl w:val="0"/>
          <w:numId w:val="7"/>
        </w:numPr>
        <w:shd w:val="clear" w:color="auto" w:fill="FFFFFF" w:themeFill="background1"/>
        <w:tabs>
          <w:tab w:val="clear" w:pos="426"/>
        </w:tabs>
        <w:ind w:left="426" w:hanging="426"/>
        <w:jc w:val="both"/>
        <w:textAlignment w:val="baseline"/>
        <w:rPr>
          <w:rFonts w:cs="Arial"/>
          <w:bdr w:val="none" w:sz="0" w:space="0" w:color="auto" w:frame="1"/>
        </w:rPr>
      </w:pPr>
      <w:r w:rsidRPr="00EB48A0">
        <w:rPr>
          <w:rFonts w:cs="Arial"/>
          <w:bdr w:val="none" w:sz="0" w:space="0" w:color="auto" w:frame="1"/>
        </w:rPr>
        <w:t xml:space="preserve">The procurement route used involved a series of structured phases </w:t>
      </w:r>
      <w:r>
        <w:rPr>
          <w:rFonts w:cs="Arial"/>
          <w:bdr w:val="none" w:sz="0" w:space="0" w:color="auto" w:frame="1"/>
        </w:rPr>
        <w:t xml:space="preserve">of </w:t>
      </w:r>
      <w:r w:rsidRPr="00EB48A0">
        <w:rPr>
          <w:rFonts w:cs="Arial"/>
          <w:bdr w:val="none" w:sz="0" w:space="0" w:color="auto" w:frame="1"/>
        </w:rPr>
        <w:t>dialogue</w:t>
      </w:r>
      <w:r>
        <w:rPr>
          <w:rFonts w:cs="Arial"/>
          <w:bdr w:val="none" w:sz="0" w:space="0" w:color="auto" w:frame="1"/>
        </w:rPr>
        <w:t xml:space="preserve"> </w:t>
      </w:r>
      <w:r w:rsidRPr="00EB48A0">
        <w:rPr>
          <w:rFonts w:cs="Arial"/>
          <w:bdr w:val="none" w:sz="0" w:space="0" w:color="auto" w:frame="1"/>
        </w:rPr>
        <w:t>with bidders</w:t>
      </w:r>
      <w:r w:rsidRPr="2958F166">
        <w:rPr>
          <w:rFonts w:cs="Arial"/>
        </w:rPr>
        <w:t>. Following each phase,</w:t>
      </w:r>
      <w:r w:rsidRPr="00EB48A0">
        <w:rPr>
          <w:rFonts w:cs="Arial"/>
          <w:bdr w:val="none" w:sz="0" w:space="0" w:color="auto" w:frame="1"/>
        </w:rPr>
        <w:t xml:space="preserve"> the Council refined and clarified its specification and contract documents and </w:t>
      </w:r>
      <w:r w:rsidRPr="2958F166">
        <w:rPr>
          <w:rFonts w:cs="Arial"/>
        </w:rPr>
        <w:t>bidders were asked to submit either initial, interim</w:t>
      </w:r>
      <w:r w:rsidRPr="00EB48A0">
        <w:rPr>
          <w:rFonts w:cs="Arial"/>
          <w:bdr w:val="none" w:sz="0" w:space="0" w:color="auto" w:frame="1"/>
        </w:rPr>
        <w:t xml:space="preserve"> or final tenders setting out how their proposed service delivery model would fulfil the Council’s requirements. This process ensure</w:t>
      </w:r>
      <w:r w:rsidRPr="2958F166">
        <w:rPr>
          <w:rFonts w:cs="Arial"/>
        </w:rPr>
        <w:t>d</w:t>
      </w:r>
      <w:r w:rsidRPr="00EB48A0">
        <w:rPr>
          <w:rFonts w:cs="Arial"/>
          <w:bdr w:val="none" w:sz="0" w:space="0" w:color="auto" w:frame="1"/>
        </w:rPr>
        <w:t xml:space="preserve"> that all bidders had a clear understanding of the Council’s requirements and that there was a level playing field. It also enabled </w:t>
      </w:r>
      <w:r>
        <w:rPr>
          <w:rFonts w:cs="Arial"/>
          <w:bdr w:val="none" w:sz="0" w:space="0" w:color="auto" w:frame="1"/>
        </w:rPr>
        <w:t xml:space="preserve">the Council </w:t>
      </w:r>
      <w:r w:rsidRPr="00EB48A0">
        <w:rPr>
          <w:rFonts w:cs="Arial"/>
          <w:bdr w:val="none" w:sz="0" w:space="0" w:color="auto" w:frame="1"/>
        </w:rPr>
        <w:t>to better understand the offers being developed by t</w:t>
      </w:r>
      <w:r w:rsidRPr="00F33DE3">
        <w:rPr>
          <w:rFonts w:cs="Arial"/>
          <w:bdr w:val="none" w:sz="0" w:space="0" w:color="auto" w:frame="1"/>
        </w:rPr>
        <w:t xml:space="preserve">he individual bidders. </w:t>
      </w:r>
    </w:p>
    <w:p w14:paraId="60EB2479" w14:textId="7E636A9C" w:rsidR="00663242" w:rsidRPr="00663242" w:rsidRDefault="00663242" w:rsidP="00430B64">
      <w:pPr>
        <w:pStyle w:val="ListParagraph"/>
        <w:numPr>
          <w:ilvl w:val="0"/>
          <w:numId w:val="7"/>
        </w:numPr>
        <w:ind w:left="426" w:hanging="426"/>
        <w:jc w:val="both"/>
      </w:pPr>
      <w:r w:rsidRPr="00663242">
        <w:t xml:space="preserve">Five bids were </w:t>
      </w:r>
      <w:r w:rsidRPr="00663242" w:rsidDel="5DFDE920">
        <w:t xml:space="preserve">received </w:t>
      </w:r>
      <w:r w:rsidRPr="00663242">
        <w:t xml:space="preserve">from GLL, Fusion Lifestyle, Serco Leisure Ltd, Parkwood and SLM. After interim tenders were assessed, the three highest scoring bids were progressed </w:t>
      </w:r>
      <w:r w:rsidRPr="00663242" w:rsidDel="00552D4D">
        <w:t>to the final round</w:t>
      </w:r>
      <w:r w:rsidRPr="00663242">
        <w:t xml:space="preserve">. They were SLM, Serco, and Parkwood.  Through </w:t>
      </w:r>
      <w:r w:rsidRPr="00663242" w:rsidDel="009A12C9">
        <w:t>f</w:t>
      </w:r>
      <w:r w:rsidRPr="00663242">
        <w:t>urther dialogue the project team also refined the final tender documentation to best reflect the Council’s requirements in specific areas, such as on concessions and accessibility.</w:t>
      </w:r>
    </w:p>
    <w:p w14:paraId="337AEDDA" w14:textId="77777777" w:rsidR="00D57D59" w:rsidRDefault="00D57D59" w:rsidP="00430B64">
      <w:pPr>
        <w:pStyle w:val="ListParagraph"/>
        <w:numPr>
          <w:ilvl w:val="0"/>
          <w:numId w:val="7"/>
        </w:numPr>
        <w:shd w:val="clear" w:color="auto" w:fill="FFFFFF" w:themeFill="background1"/>
        <w:tabs>
          <w:tab w:val="clear" w:pos="426"/>
        </w:tabs>
        <w:spacing w:after="0"/>
        <w:ind w:left="426" w:hanging="426"/>
        <w:jc w:val="both"/>
        <w:textAlignment w:val="baseline"/>
        <w:rPr>
          <w:rFonts w:cs="Arial"/>
          <w:color w:val="auto"/>
          <w:bdr w:val="none" w:sz="0" w:space="0" w:color="auto" w:frame="1"/>
        </w:rPr>
      </w:pPr>
      <w:r>
        <w:rPr>
          <w:rFonts w:cs="Arial"/>
          <w:color w:val="auto"/>
          <w:bdr w:val="none" w:sz="0" w:space="0" w:color="auto" w:frame="1"/>
        </w:rPr>
        <w:t>Following the submission of final tenders, the project team reviewed all the procurement documents used, including draft contracts, service specifications and schedules. Having done so, the Council reissue</w:t>
      </w:r>
      <w:r w:rsidRPr="2958F166">
        <w:rPr>
          <w:rFonts w:cs="Arial"/>
          <w:color w:val="auto"/>
        </w:rPr>
        <w:t>d</w:t>
      </w:r>
      <w:r>
        <w:rPr>
          <w:rFonts w:cs="Arial"/>
          <w:color w:val="auto"/>
          <w:bdr w:val="none" w:sz="0" w:space="0" w:color="auto" w:frame="1"/>
        </w:rPr>
        <w:t xml:space="preserve"> the finalise</w:t>
      </w:r>
      <w:r w:rsidRPr="2958F166">
        <w:rPr>
          <w:rFonts w:cs="Arial"/>
          <w:color w:val="auto"/>
        </w:rPr>
        <w:t>d</w:t>
      </w:r>
      <w:r>
        <w:rPr>
          <w:rFonts w:cs="Arial"/>
          <w:color w:val="auto"/>
          <w:bdr w:val="none" w:sz="0" w:space="0" w:color="auto" w:frame="1"/>
        </w:rPr>
        <w:t xml:space="preserve"> documentation and asked the remaining three bidders to review and amend their submissions as far as</w:t>
      </w:r>
      <w:r w:rsidRPr="2958F166">
        <w:rPr>
          <w:rFonts w:cs="Arial"/>
          <w:color w:val="auto"/>
        </w:rPr>
        <w:t xml:space="preserve"> necessary to take into account</w:t>
      </w:r>
      <w:r>
        <w:rPr>
          <w:rFonts w:cs="Arial"/>
          <w:color w:val="auto"/>
          <w:bdr w:val="none" w:sz="0" w:space="0" w:color="auto" w:frame="1"/>
        </w:rPr>
        <w:t xml:space="preserve"> any changes made by the Council</w:t>
      </w:r>
      <w:r w:rsidRPr="00F361BE" w:rsidDel="003567AE">
        <w:rPr>
          <w:rFonts w:cs="Arial"/>
          <w:color w:val="auto"/>
          <w:bdr w:val="none" w:sz="0" w:space="0" w:color="auto" w:frame="1"/>
        </w:rPr>
        <w:t>.</w:t>
      </w:r>
    </w:p>
    <w:p w14:paraId="42D2C574" w14:textId="77777777" w:rsidR="00626EBD" w:rsidRPr="00F361BE" w:rsidRDefault="00626EBD" w:rsidP="00626EBD">
      <w:pPr>
        <w:pStyle w:val="ListParagraph"/>
        <w:numPr>
          <w:ilvl w:val="0"/>
          <w:numId w:val="0"/>
        </w:numPr>
        <w:shd w:val="clear" w:color="auto" w:fill="FFFFFF" w:themeFill="background1"/>
        <w:tabs>
          <w:tab w:val="clear" w:pos="426"/>
        </w:tabs>
        <w:spacing w:after="0"/>
        <w:ind w:left="426"/>
        <w:textAlignment w:val="baseline"/>
        <w:rPr>
          <w:rFonts w:cs="Arial"/>
          <w:color w:val="auto"/>
          <w:bdr w:val="none" w:sz="0" w:space="0" w:color="auto" w:frame="1"/>
        </w:rPr>
      </w:pPr>
    </w:p>
    <w:p w14:paraId="21C28DA4" w14:textId="28950F82" w:rsidR="0038762A" w:rsidRDefault="00757773" w:rsidP="00626EBD">
      <w:pPr>
        <w:shd w:val="clear" w:color="auto" w:fill="FFFFFF" w:themeFill="background1"/>
        <w:spacing w:before="120"/>
        <w:ind w:left="426" w:hanging="426"/>
        <w:textAlignment w:val="baseline"/>
        <w:rPr>
          <w:rFonts w:cs="Arial"/>
          <w:color w:val="000000" w:themeColor="text1"/>
          <w:u w:val="single"/>
        </w:rPr>
      </w:pPr>
      <w:r>
        <w:rPr>
          <w:rFonts w:cs="Arial"/>
          <w:color w:val="000000" w:themeColor="text1"/>
          <w:u w:val="single"/>
        </w:rPr>
        <w:t>Tender Evaluations</w:t>
      </w:r>
    </w:p>
    <w:p w14:paraId="195205E0" w14:textId="77777777" w:rsidR="00590AF5" w:rsidRPr="00BF4A83" w:rsidRDefault="00590AF5" w:rsidP="00430B64">
      <w:pPr>
        <w:pStyle w:val="ListParagraph"/>
        <w:numPr>
          <w:ilvl w:val="0"/>
          <w:numId w:val="7"/>
        </w:numPr>
        <w:shd w:val="clear" w:color="auto" w:fill="FFFFFF" w:themeFill="background1"/>
        <w:ind w:left="426" w:hanging="426"/>
        <w:jc w:val="both"/>
        <w:textAlignment w:val="baseline"/>
        <w:rPr>
          <w:rFonts w:cs="Arial"/>
          <w:color w:val="000000" w:themeColor="text1"/>
        </w:rPr>
      </w:pPr>
      <w:r w:rsidRPr="00BF4A83">
        <w:rPr>
          <w:rFonts w:cs="Arial"/>
          <w:bdr w:val="none" w:sz="0" w:space="0" w:color="auto" w:frame="1"/>
        </w:rPr>
        <w:lastRenderedPageBreak/>
        <w:t xml:space="preserve">A </w:t>
      </w:r>
      <w:r w:rsidRPr="00BF4A83">
        <w:rPr>
          <w:rFonts w:cs="Arial"/>
        </w:rPr>
        <w:t>tender assessment panel was established to evaluate the tenders including officers from procurement, finance, property, community services and an independent leisure consultant</w:t>
      </w:r>
      <w:r w:rsidRPr="00BF4A83">
        <w:rPr>
          <w:rFonts w:cs="Arial"/>
          <w:color w:val="FF0000"/>
        </w:rPr>
        <w:t xml:space="preserve">. </w:t>
      </w:r>
      <w:r w:rsidRPr="00BF4A83">
        <w:rPr>
          <w:rFonts w:cs="Arial"/>
          <w:color w:val="auto"/>
        </w:rPr>
        <w:t>The assessment team individually scored each bid.  E</w:t>
      </w:r>
      <w:r w:rsidRPr="1768DCA7">
        <w:rPr>
          <w:rFonts w:cs="Arial"/>
          <w:color w:val="auto"/>
        </w:rPr>
        <w:t>ach evaluator in the assessment team scored each bid on</w:t>
      </w:r>
      <w:r w:rsidRPr="00BF4A83">
        <w:rPr>
          <w:rFonts w:cs="Arial"/>
          <w:color w:val="auto"/>
        </w:rPr>
        <w:t xml:space="preserve"> an </w:t>
      </w:r>
      <w:r w:rsidRPr="1768DCA7">
        <w:rPr>
          <w:rFonts w:cs="Arial"/>
          <w:color w:val="auto"/>
        </w:rPr>
        <w:t>individual basis. The</w:t>
      </w:r>
      <w:r w:rsidRPr="00BF4A83">
        <w:rPr>
          <w:rFonts w:cs="Arial"/>
          <w:color w:val="auto"/>
        </w:rPr>
        <w:t xml:space="preserve"> scores were then </w:t>
      </w:r>
      <w:r w:rsidRPr="1768DCA7">
        <w:rPr>
          <w:rFonts w:cs="Arial"/>
          <w:color w:val="auto"/>
        </w:rPr>
        <w:t>reviewed in a moderation meeting</w:t>
      </w:r>
      <w:r w:rsidRPr="00BF4A83">
        <w:rPr>
          <w:rFonts w:cs="Arial"/>
          <w:color w:val="auto"/>
        </w:rPr>
        <w:t xml:space="preserve"> to </w:t>
      </w:r>
      <w:r w:rsidRPr="1768DCA7">
        <w:rPr>
          <w:rFonts w:cs="Arial"/>
          <w:color w:val="auto"/>
        </w:rPr>
        <w:t xml:space="preserve">achieve one final score per question for each bidder. </w:t>
      </w:r>
      <w:r w:rsidRPr="00BF4A83">
        <w:rPr>
          <w:rFonts w:cs="Arial"/>
        </w:rPr>
        <w:t xml:space="preserve"> </w:t>
      </w:r>
    </w:p>
    <w:p w14:paraId="48A6C210" w14:textId="45B6620B" w:rsidR="00171553" w:rsidRDefault="00171553" w:rsidP="00430B64">
      <w:pPr>
        <w:numPr>
          <w:ilvl w:val="0"/>
          <w:numId w:val="7"/>
        </w:numPr>
        <w:shd w:val="clear" w:color="auto" w:fill="FFFFFF" w:themeFill="background1"/>
        <w:ind w:left="426" w:hanging="426"/>
        <w:jc w:val="both"/>
        <w:textAlignment w:val="baseline"/>
        <w:rPr>
          <w:rFonts w:cs="Arial"/>
        </w:rPr>
      </w:pPr>
      <w:r w:rsidRPr="35891A3F">
        <w:rPr>
          <w:rFonts w:cs="Arial"/>
        </w:rPr>
        <w:t xml:space="preserve">The quality element of the scoring accounts for 60% of the overall score, which are shown in </w:t>
      </w:r>
      <w:r w:rsidR="00C12302">
        <w:rPr>
          <w:rFonts w:cs="Arial"/>
        </w:rPr>
        <w:t>A</w:t>
      </w:r>
      <w:r w:rsidRPr="35891A3F">
        <w:rPr>
          <w:rFonts w:cs="Arial"/>
        </w:rPr>
        <w:t xml:space="preserve">ppendix </w:t>
      </w:r>
      <w:r>
        <w:rPr>
          <w:rFonts w:cs="Arial"/>
        </w:rPr>
        <w:t>1</w:t>
      </w:r>
      <w:r w:rsidRPr="14EE1E20">
        <w:rPr>
          <w:rFonts w:cs="Arial"/>
        </w:rPr>
        <w:t>. These</w:t>
      </w:r>
      <w:r w:rsidRPr="35891A3F">
        <w:rPr>
          <w:rFonts w:cs="Arial"/>
        </w:rPr>
        <w:t xml:space="preserve"> include </w:t>
      </w:r>
      <w:r w:rsidRPr="14EE1E20">
        <w:rPr>
          <w:rFonts w:cs="Arial"/>
        </w:rPr>
        <w:t>employee development</w:t>
      </w:r>
      <w:r w:rsidRPr="35891A3F">
        <w:rPr>
          <w:rFonts w:cs="Arial"/>
        </w:rPr>
        <w:t xml:space="preserve">, community </w:t>
      </w:r>
      <w:r w:rsidRPr="14EE1E20">
        <w:rPr>
          <w:rFonts w:cs="Arial"/>
        </w:rPr>
        <w:t>outreach</w:t>
      </w:r>
      <w:r w:rsidRPr="35891A3F">
        <w:rPr>
          <w:rFonts w:cs="Arial"/>
        </w:rPr>
        <w:t xml:space="preserve">, innovation, repair and </w:t>
      </w:r>
      <w:r w:rsidRPr="14EE1E20">
        <w:rPr>
          <w:rFonts w:cs="Arial"/>
        </w:rPr>
        <w:t>maintenance</w:t>
      </w:r>
      <w:r w:rsidRPr="35891A3F">
        <w:rPr>
          <w:rFonts w:cs="Arial"/>
        </w:rPr>
        <w:t>, marketing, pricing</w:t>
      </w:r>
      <w:r w:rsidRPr="14EE1E20">
        <w:rPr>
          <w:rFonts w:cs="Arial"/>
        </w:rPr>
        <w:t xml:space="preserve">, </w:t>
      </w:r>
      <w:r w:rsidRPr="35891A3F">
        <w:rPr>
          <w:rFonts w:cs="Arial"/>
        </w:rPr>
        <w:t>concessions, customer service</w:t>
      </w:r>
      <w:r w:rsidRPr="14EE1E20">
        <w:rPr>
          <w:rFonts w:cs="Arial"/>
        </w:rPr>
        <w:t xml:space="preserve"> and environmental management.</w:t>
      </w:r>
    </w:p>
    <w:p w14:paraId="30A97DE6" w14:textId="77777777" w:rsidR="00533056" w:rsidRPr="00C15BE1" w:rsidRDefault="00533056" w:rsidP="00430B64">
      <w:pPr>
        <w:numPr>
          <w:ilvl w:val="0"/>
          <w:numId w:val="7"/>
        </w:numPr>
        <w:shd w:val="clear" w:color="auto" w:fill="FFFFFF" w:themeFill="background1"/>
        <w:ind w:left="426" w:hanging="426"/>
        <w:jc w:val="both"/>
        <w:textAlignment w:val="baseline"/>
        <w:rPr>
          <w:rFonts w:cs="Arial"/>
        </w:rPr>
      </w:pPr>
      <w:r w:rsidRPr="33BC0800">
        <w:rPr>
          <w:rFonts w:cs="Arial"/>
        </w:rPr>
        <w:t xml:space="preserve">The cost element of the scoring represented 40% of the overall score, which includes 30% for the average </w:t>
      </w:r>
      <w:r w:rsidRPr="355AD99B">
        <w:rPr>
          <w:rFonts w:cs="Arial"/>
        </w:rPr>
        <w:t xml:space="preserve">annual </w:t>
      </w:r>
      <w:r w:rsidRPr="33BC0800">
        <w:rPr>
          <w:rFonts w:cs="Arial"/>
        </w:rPr>
        <w:t xml:space="preserve">management fee, calculated over 10 years, </w:t>
      </w:r>
      <w:r w:rsidRPr="57ED982C">
        <w:rPr>
          <w:rFonts w:cs="Arial"/>
        </w:rPr>
        <w:t>and 10</w:t>
      </w:r>
      <w:r w:rsidRPr="33BC0800">
        <w:rPr>
          <w:rFonts w:cs="Arial"/>
        </w:rPr>
        <w:t>% for the deliverability of the business plan</w:t>
      </w:r>
      <w:r w:rsidRPr="57ED982C">
        <w:rPr>
          <w:rFonts w:cs="Arial"/>
        </w:rPr>
        <w:t>.</w:t>
      </w:r>
      <w:r w:rsidRPr="33BC0800">
        <w:rPr>
          <w:rFonts w:cs="Arial"/>
        </w:rPr>
        <w:t xml:space="preserve"> Bidders were provided with a financial template and guidance and assumptions to arrive at the average </w:t>
      </w:r>
      <w:r w:rsidRPr="355AD99B">
        <w:rPr>
          <w:rFonts w:cs="Arial"/>
        </w:rPr>
        <w:t xml:space="preserve">annual </w:t>
      </w:r>
      <w:r w:rsidRPr="33BC0800">
        <w:rPr>
          <w:rFonts w:cs="Arial"/>
        </w:rPr>
        <w:t>management fee.  Bidders were also invited to incorporate their invest</w:t>
      </w:r>
      <w:r w:rsidRPr="2958F166">
        <w:rPr>
          <w:rFonts w:cs="Arial"/>
        </w:rPr>
        <w:t>-</w:t>
      </w:r>
      <w:r w:rsidRPr="33BC0800">
        <w:rPr>
          <w:rFonts w:cs="Arial"/>
        </w:rPr>
        <w:t>to</w:t>
      </w:r>
      <w:r w:rsidRPr="2958F166">
        <w:rPr>
          <w:rFonts w:cs="Arial"/>
        </w:rPr>
        <w:t>-</w:t>
      </w:r>
      <w:r w:rsidRPr="33BC0800">
        <w:rPr>
          <w:rFonts w:cs="Arial"/>
        </w:rPr>
        <w:t xml:space="preserve">save proposals into their income and expenditure proposals, </w:t>
      </w:r>
      <w:r w:rsidRPr="2958F166">
        <w:rPr>
          <w:rFonts w:cs="Arial"/>
        </w:rPr>
        <w:t>for</w:t>
      </w:r>
      <w:r w:rsidRPr="33BC0800">
        <w:rPr>
          <w:rFonts w:cs="Arial"/>
        </w:rPr>
        <w:t xml:space="preserve"> which the Council offered </w:t>
      </w:r>
      <w:r w:rsidRPr="2958F166">
        <w:rPr>
          <w:rFonts w:cs="Arial"/>
        </w:rPr>
        <w:t xml:space="preserve">financial support in the form of </w:t>
      </w:r>
      <w:r w:rsidRPr="33BC0800">
        <w:rPr>
          <w:rFonts w:cs="Arial"/>
        </w:rPr>
        <w:t>a capital grant of £2million</w:t>
      </w:r>
      <w:r w:rsidRPr="2958F166">
        <w:rPr>
          <w:rFonts w:cs="Arial"/>
        </w:rPr>
        <w:t>.</w:t>
      </w:r>
      <w:r w:rsidRPr="33BC0800">
        <w:rPr>
          <w:rFonts w:cs="Arial"/>
        </w:rPr>
        <w:t xml:space="preserve"> </w:t>
      </w:r>
    </w:p>
    <w:p w14:paraId="1E40E248" w14:textId="77777777" w:rsidR="00C34F98" w:rsidRPr="00784419" w:rsidRDefault="00C34F98" w:rsidP="00430B64">
      <w:pPr>
        <w:pStyle w:val="ListParagraph"/>
        <w:numPr>
          <w:ilvl w:val="0"/>
          <w:numId w:val="7"/>
        </w:numPr>
        <w:shd w:val="clear" w:color="auto" w:fill="FFFFFF" w:themeFill="background1"/>
        <w:tabs>
          <w:tab w:val="clear" w:pos="426"/>
        </w:tabs>
        <w:ind w:left="425" w:hanging="425"/>
        <w:jc w:val="both"/>
        <w:rPr>
          <w:rFonts w:cs="Arial"/>
          <w:color w:val="000000" w:themeColor="text1"/>
          <w:bdr w:val="none" w:sz="0" w:space="0" w:color="auto" w:frame="1"/>
        </w:rPr>
      </w:pPr>
      <w:r w:rsidRPr="31619BB5">
        <w:rPr>
          <w:rFonts w:cs="Arial"/>
          <w:color w:val="auto"/>
        </w:rPr>
        <w:t xml:space="preserve">All three </w:t>
      </w:r>
      <w:r w:rsidRPr="31619BB5">
        <w:rPr>
          <w:rFonts w:cs="Arial"/>
        </w:rPr>
        <w:t>bids scored well on the quality of their offers and should provide a good and engaging leisure service.  However, they varied in relation to their costs and affordability to the Council.  Of the three final bids only two offered a service that scored well enough to satisfy the costs criteria, with Serco Leis</w:t>
      </w:r>
      <w:r>
        <w:rPr>
          <w:rFonts w:cs="Arial"/>
        </w:rPr>
        <w:t>ure s</w:t>
      </w:r>
      <w:r w:rsidRPr="31619BB5">
        <w:rPr>
          <w:rFonts w:cs="Arial"/>
        </w:rPr>
        <w:t xml:space="preserve">coring best. </w:t>
      </w:r>
      <w:r w:rsidRPr="57ED982C">
        <w:rPr>
          <w:rFonts w:cs="Arial"/>
          <w:color w:val="auto"/>
        </w:rPr>
        <w:t>SLM were scored in second place followed by Parkwood in third.</w:t>
      </w:r>
    </w:p>
    <w:p w14:paraId="080441C5" w14:textId="77777777" w:rsidR="00626EBD" w:rsidRPr="009044F7" w:rsidRDefault="00626EBD" w:rsidP="00430B64">
      <w:pPr>
        <w:pStyle w:val="ListParagraph"/>
        <w:numPr>
          <w:ilvl w:val="0"/>
          <w:numId w:val="7"/>
        </w:numPr>
        <w:shd w:val="clear" w:color="auto" w:fill="FFFFFF" w:themeFill="background1"/>
        <w:tabs>
          <w:tab w:val="clear" w:pos="426"/>
          <w:tab w:val="left" w:pos="567"/>
        </w:tabs>
        <w:spacing w:after="0"/>
        <w:ind w:left="426" w:hanging="426"/>
        <w:jc w:val="both"/>
        <w:rPr>
          <w:rFonts w:cs="Arial"/>
          <w:b/>
          <w:bCs/>
          <w:color w:val="000000" w:themeColor="text1"/>
          <w:bdr w:val="none" w:sz="0" w:space="0" w:color="auto" w:frame="1"/>
        </w:rPr>
      </w:pPr>
      <w:r w:rsidRPr="009044F7">
        <w:rPr>
          <w:rFonts w:cs="Arial"/>
          <w:b/>
          <w:bCs/>
          <w:color w:val="auto"/>
        </w:rPr>
        <w:t>Having carried out a robust and compliant</w:t>
      </w:r>
      <w:r w:rsidRPr="009044F7">
        <w:rPr>
          <w:rFonts w:cs="Arial"/>
          <w:b/>
          <w:bCs/>
          <w:color w:val="auto"/>
          <w:bdr w:val="none" w:sz="0" w:space="0" w:color="auto" w:frame="1"/>
        </w:rPr>
        <w:t xml:space="preserve"> process, and </w:t>
      </w:r>
      <w:r w:rsidRPr="009044F7">
        <w:rPr>
          <w:rFonts w:cs="Arial"/>
          <w:b/>
          <w:bCs/>
          <w:color w:val="auto"/>
        </w:rPr>
        <w:t xml:space="preserve">carefully evaluated the tenders </w:t>
      </w:r>
      <w:r w:rsidRPr="009044F7">
        <w:rPr>
          <w:rFonts w:cs="Arial"/>
          <w:b/>
          <w:bCs/>
          <w:color w:val="auto"/>
          <w:bdr w:val="none" w:sz="0" w:space="0" w:color="auto" w:frame="1"/>
        </w:rPr>
        <w:t xml:space="preserve">the evaluation panel concluded that </w:t>
      </w:r>
      <w:r w:rsidRPr="009044F7">
        <w:rPr>
          <w:rFonts w:cs="Arial"/>
          <w:b/>
          <w:bCs/>
        </w:rPr>
        <w:t>Serco Leisure</w:t>
      </w:r>
      <w:r w:rsidRPr="009044F7">
        <w:rPr>
          <w:rFonts w:cs="Arial"/>
          <w:b/>
          <w:bCs/>
          <w:color w:val="auto"/>
        </w:rPr>
        <w:t xml:space="preserve"> overall </w:t>
      </w:r>
      <w:r w:rsidRPr="009044F7">
        <w:rPr>
          <w:rFonts w:cs="Arial"/>
          <w:b/>
          <w:bCs/>
          <w:color w:val="auto"/>
          <w:bdr w:val="none" w:sz="0" w:space="0" w:color="auto" w:frame="1"/>
        </w:rPr>
        <w:t xml:space="preserve">scored best against the procurement criteria.  </w:t>
      </w:r>
    </w:p>
    <w:p w14:paraId="5B5193D0" w14:textId="4949FFF6" w:rsidR="00757773" w:rsidRPr="00757773" w:rsidRDefault="00757773" w:rsidP="00626EBD">
      <w:pPr>
        <w:pStyle w:val="ListParagraph"/>
        <w:numPr>
          <w:ilvl w:val="0"/>
          <w:numId w:val="0"/>
        </w:numPr>
        <w:shd w:val="clear" w:color="auto" w:fill="FFFFFF" w:themeFill="background1"/>
        <w:spacing w:before="120" w:after="0"/>
        <w:ind w:left="360"/>
        <w:textAlignment w:val="baseline"/>
        <w:rPr>
          <w:rFonts w:cs="Arial"/>
          <w:color w:val="000000" w:themeColor="text1"/>
          <w:u w:val="single"/>
        </w:rPr>
      </w:pPr>
    </w:p>
    <w:p w14:paraId="633F6A81" w14:textId="7F458C73" w:rsidR="004214F2" w:rsidRPr="00623AA9" w:rsidRDefault="00623AA9" w:rsidP="00702DE2">
      <w:pPr>
        <w:shd w:val="clear" w:color="auto" w:fill="FFFFFF" w:themeFill="background1"/>
        <w:spacing w:before="120"/>
        <w:textAlignment w:val="baseline"/>
        <w:rPr>
          <w:rFonts w:cs="Arial"/>
          <w:color w:val="auto"/>
          <w:u w:val="single"/>
        </w:rPr>
      </w:pPr>
      <w:r>
        <w:rPr>
          <w:rFonts w:cs="Arial"/>
          <w:color w:val="auto"/>
          <w:u w:val="single"/>
        </w:rPr>
        <w:t>Benefits of Serco Leisure’s Bid</w:t>
      </w:r>
    </w:p>
    <w:p w14:paraId="1350D478" w14:textId="77777777" w:rsidR="00666377" w:rsidRPr="00324EFE" w:rsidRDefault="00666377" w:rsidP="00430B64">
      <w:pPr>
        <w:pStyle w:val="ListParagraph"/>
        <w:numPr>
          <w:ilvl w:val="0"/>
          <w:numId w:val="7"/>
        </w:numPr>
        <w:shd w:val="clear" w:color="auto" w:fill="FFFFFF" w:themeFill="background1"/>
        <w:tabs>
          <w:tab w:val="clear" w:pos="426"/>
          <w:tab w:val="left" w:pos="851"/>
        </w:tabs>
        <w:ind w:left="426" w:hanging="502"/>
        <w:jc w:val="both"/>
        <w:rPr>
          <w:rFonts w:cs="Arial"/>
          <w:color w:val="000000" w:themeColor="text1"/>
          <w:bdr w:val="none" w:sz="0" w:space="0" w:color="auto" w:frame="1"/>
        </w:rPr>
      </w:pPr>
      <w:r w:rsidRPr="57ED982C">
        <w:rPr>
          <w:rFonts w:cs="Arial"/>
          <w:color w:val="000000" w:themeColor="text1"/>
        </w:rPr>
        <w:t xml:space="preserve">Serco Leisure Ltd is a subsidiary of Serco UK, and one of the UK’s leading national operators of leisure centres and sporting facilities. It operates independently from the Serco UK’s other sector subsidiaries that are concerned individually with defence; justice and immigration; transport; and Citizen services.  </w:t>
      </w:r>
    </w:p>
    <w:p w14:paraId="0CEA23C7" w14:textId="77777777" w:rsidR="00D051C5" w:rsidRPr="00324EFE" w:rsidRDefault="00D051C5" w:rsidP="00430B64">
      <w:pPr>
        <w:pStyle w:val="ListParagraph"/>
        <w:numPr>
          <w:ilvl w:val="0"/>
          <w:numId w:val="7"/>
        </w:numPr>
        <w:shd w:val="clear" w:color="auto" w:fill="FFFFFF" w:themeFill="background1"/>
        <w:tabs>
          <w:tab w:val="clear" w:pos="426"/>
          <w:tab w:val="left" w:pos="851"/>
        </w:tabs>
        <w:ind w:left="426" w:hanging="502"/>
        <w:jc w:val="both"/>
        <w:rPr>
          <w:rFonts w:cs="Arial"/>
          <w:color w:val="000000" w:themeColor="text1"/>
          <w:bdr w:val="none" w:sz="0" w:space="0" w:color="auto" w:frame="1"/>
        </w:rPr>
      </w:pPr>
      <w:r w:rsidRPr="31619BB5">
        <w:rPr>
          <w:rFonts w:cs="Arial"/>
        </w:rPr>
        <w:t>Serco Leis</w:t>
      </w:r>
      <w:r>
        <w:rPr>
          <w:rFonts w:cs="Arial"/>
        </w:rPr>
        <w:t>ure’s</w:t>
      </w:r>
      <w:r w:rsidRPr="355AD99B">
        <w:rPr>
          <w:rFonts w:cs="Arial"/>
          <w:color w:val="000000" w:themeColor="text1"/>
        </w:rPr>
        <w:t xml:space="preserve"> bid scores well on quality and they have included investments that will increase participation,</w:t>
      </w:r>
      <w:r>
        <w:rPr>
          <w:rFonts w:cs="Arial"/>
          <w:color w:val="000000" w:themeColor="text1"/>
        </w:rPr>
        <w:t xml:space="preserve"> </w:t>
      </w:r>
      <w:r w:rsidRPr="355AD99B">
        <w:rPr>
          <w:rFonts w:cs="Arial"/>
          <w:color w:val="000000" w:themeColor="text1"/>
        </w:rPr>
        <w:t>with the main investment being the conversation of half of the sports hall at the Leys Pools &amp; Leisure Centre so it can be used for soft play and TAGactive (a new concept suitable for all ages that combines fun, technology and exercise).</w:t>
      </w:r>
      <w:r>
        <w:rPr>
          <w:rFonts w:cs="Arial"/>
          <w:color w:val="000000" w:themeColor="text1"/>
        </w:rPr>
        <w:t xml:space="preserve"> </w:t>
      </w:r>
      <w:r w:rsidRPr="006A75A6">
        <w:rPr>
          <w:rFonts w:cs="Arial"/>
          <w:color w:val="000000" w:themeColor="text1"/>
        </w:rPr>
        <w:t xml:space="preserve">All gym equipment will be replaced with brand new modern equipment suitable for all levels of fitness. Alongside this Barton Leisure Centre will benefit from a new spin studio and new group exercise studio with be created at Ferry. All the centres will be promoted and branded as Oxford’s local community centres. </w:t>
      </w:r>
    </w:p>
    <w:p w14:paraId="5D3995B7" w14:textId="7C9FC74E" w:rsidR="000C3E5D" w:rsidRPr="00C46DD9" w:rsidRDefault="000C3E5D" w:rsidP="00430B64">
      <w:pPr>
        <w:pStyle w:val="ListParagraph"/>
        <w:numPr>
          <w:ilvl w:val="0"/>
          <w:numId w:val="7"/>
        </w:numPr>
        <w:shd w:val="clear" w:color="auto" w:fill="FFFFFF" w:themeFill="background1"/>
        <w:tabs>
          <w:tab w:val="clear" w:pos="426"/>
          <w:tab w:val="left" w:pos="851"/>
        </w:tabs>
        <w:ind w:left="426" w:hanging="502"/>
        <w:jc w:val="both"/>
        <w:rPr>
          <w:rFonts w:cs="Arial"/>
          <w:color w:val="000000" w:themeColor="text1"/>
          <w:bdr w:val="none" w:sz="0" w:space="0" w:color="auto" w:frame="1"/>
        </w:rPr>
      </w:pPr>
      <w:r w:rsidRPr="6DAB8DE9">
        <w:rPr>
          <w:rFonts w:cs="Arial"/>
          <w:color w:val="000000" w:themeColor="text1"/>
        </w:rPr>
        <w:t xml:space="preserve">Serco are committed to continuing and building on the Council’s positive work with the health system where we have a range of pilots underway focused on areas such as healthy weight, smoking cessation, foot care for older people and maternity support. Serco’s fees and charges are included as </w:t>
      </w:r>
      <w:r w:rsidR="00081377">
        <w:rPr>
          <w:rFonts w:cs="Arial"/>
          <w:color w:val="000000" w:themeColor="text1"/>
        </w:rPr>
        <w:t>A</w:t>
      </w:r>
      <w:r w:rsidRPr="6DAB8DE9">
        <w:rPr>
          <w:rFonts w:cs="Arial"/>
          <w:color w:val="000000" w:themeColor="text1"/>
        </w:rPr>
        <w:t>ppendix 5. They have been benchmarked against local competition and neighbouring councils.</w:t>
      </w:r>
    </w:p>
    <w:p w14:paraId="77F76275" w14:textId="77777777" w:rsidR="00EE3EFF" w:rsidRPr="000469B9" w:rsidRDefault="00EE3EFF" w:rsidP="00430B64">
      <w:pPr>
        <w:pStyle w:val="ListParagraph"/>
        <w:numPr>
          <w:ilvl w:val="0"/>
          <w:numId w:val="7"/>
        </w:numPr>
        <w:shd w:val="clear" w:color="auto" w:fill="FFFFFF" w:themeFill="background1"/>
        <w:tabs>
          <w:tab w:val="clear" w:pos="426"/>
          <w:tab w:val="left" w:pos="851"/>
        </w:tabs>
        <w:ind w:left="426" w:hanging="502"/>
        <w:jc w:val="both"/>
        <w:rPr>
          <w:rFonts w:eastAsia="Arial" w:cs="Arial"/>
          <w:color w:val="000000" w:themeColor="text1"/>
          <w:bdr w:val="none" w:sz="0" w:space="0" w:color="auto" w:frame="1"/>
        </w:rPr>
      </w:pPr>
      <w:r w:rsidRPr="00C46DD9">
        <w:rPr>
          <w:rFonts w:cs="Arial"/>
          <w:color w:val="000000" w:themeColor="text1"/>
        </w:rPr>
        <w:t xml:space="preserve">Serco will continue to offer free swimming, the programming and times for these sessions need to be worked through as the current provision has not been as </w:t>
      </w:r>
      <w:r w:rsidRPr="00C46DD9">
        <w:rPr>
          <w:rFonts w:cs="Arial"/>
          <w:color w:val="000000" w:themeColor="text1"/>
        </w:rPr>
        <w:lastRenderedPageBreak/>
        <w:t>affective as we would like.</w:t>
      </w:r>
      <w:r>
        <w:rPr>
          <w:rFonts w:cs="Arial"/>
          <w:color w:val="000000" w:themeColor="text1"/>
        </w:rPr>
        <w:t xml:space="preserve"> </w:t>
      </w:r>
      <w:r w:rsidRPr="00C46DD9">
        <w:rPr>
          <w:rFonts w:cs="Arial"/>
          <w:color w:val="000000" w:themeColor="text1"/>
        </w:rPr>
        <w:t>Serco will simplify the confusing fees and charges with a small number of standard membership charges and 40% discount for concessions.</w:t>
      </w:r>
      <w:r>
        <w:rPr>
          <w:rFonts w:cs="Arial"/>
          <w:color w:val="000000" w:themeColor="text1"/>
        </w:rPr>
        <w:t xml:space="preserve"> </w:t>
      </w:r>
      <w:r w:rsidRPr="00C46DD9">
        <w:rPr>
          <w:rFonts w:eastAsia="Arial" w:cs="Arial"/>
          <w:color w:val="000000" w:themeColor="text1"/>
        </w:rPr>
        <w:t xml:space="preserve">While Fusion’s wide range of fees and charges makes direct comparisons difficult, Serco’s monthly concessionary price is </w:t>
      </w:r>
      <w:r w:rsidRPr="00C46DD9">
        <w:rPr>
          <w:rFonts w:eastAsia="Arial" w:cs="Arial"/>
        </w:rPr>
        <w:t>£24 per month for gym, swim</w:t>
      </w:r>
      <w:r w:rsidRPr="57ED982C">
        <w:rPr>
          <w:rFonts w:eastAsia="Arial" w:cs="Arial"/>
        </w:rPr>
        <w:t>,</w:t>
      </w:r>
      <w:r w:rsidRPr="00C46DD9">
        <w:rPr>
          <w:rFonts w:eastAsia="Arial" w:cs="Arial"/>
        </w:rPr>
        <w:t xml:space="preserve"> and class membership (concession) which is in line with the current price.</w:t>
      </w:r>
    </w:p>
    <w:p w14:paraId="64A1EC30" w14:textId="77777777" w:rsidR="00C60C10" w:rsidRPr="00B20D86" w:rsidRDefault="00C60C10" w:rsidP="00430B64">
      <w:pPr>
        <w:pStyle w:val="ListParagraph"/>
        <w:numPr>
          <w:ilvl w:val="0"/>
          <w:numId w:val="7"/>
        </w:numPr>
        <w:shd w:val="clear" w:color="auto" w:fill="FFFFFF" w:themeFill="background1"/>
        <w:tabs>
          <w:tab w:val="clear" w:pos="426"/>
          <w:tab w:val="left" w:pos="851"/>
        </w:tabs>
        <w:ind w:left="426" w:hanging="502"/>
        <w:jc w:val="both"/>
        <w:rPr>
          <w:rFonts w:eastAsia="Arial" w:cs="Arial"/>
          <w:color w:val="000000" w:themeColor="text1"/>
          <w:bdr w:val="none" w:sz="0" w:space="0" w:color="auto" w:frame="1"/>
        </w:rPr>
      </w:pPr>
      <w:r>
        <w:rPr>
          <w:rFonts w:eastAsia="Arial" w:cs="Arial"/>
        </w:rPr>
        <w:t xml:space="preserve">We currently operate </w:t>
      </w:r>
      <w:r w:rsidRPr="000469B9">
        <w:rPr>
          <w:rFonts w:eastAsia="Arial" w:cs="Arial"/>
        </w:rPr>
        <w:t>a range of pay as you play concessionary prices, ranging between £2.10 and £2.60.  Serco’s pay as you play concession range from £1.80 for people with a disability, £2.65 for teens with the highest pay as you play being £5.25 for an adult gym.</w:t>
      </w:r>
      <w:r>
        <w:rPr>
          <w:rFonts w:eastAsia="Arial" w:cs="Arial"/>
        </w:rPr>
        <w:t xml:space="preserve"> </w:t>
      </w:r>
    </w:p>
    <w:p w14:paraId="18955AB2" w14:textId="77777777" w:rsidR="006C347A" w:rsidRPr="002E090D" w:rsidRDefault="006C347A" w:rsidP="00430B64">
      <w:pPr>
        <w:pStyle w:val="ListParagraph"/>
        <w:numPr>
          <w:ilvl w:val="0"/>
          <w:numId w:val="7"/>
        </w:numPr>
        <w:shd w:val="clear" w:color="auto" w:fill="FFFFFF" w:themeFill="background1"/>
        <w:tabs>
          <w:tab w:val="clear" w:pos="426"/>
          <w:tab w:val="left" w:pos="851"/>
        </w:tabs>
        <w:ind w:left="426" w:hanging="502"/>
        <w:jc w:val="both"/>
        <w:rPr>
          <w:rFonts w:eastAsia="Arial" w:cs="Arial"/>
          <w:color w:val="000000" w:themeColor="text1"/>
          <w:bdr w:val="none" w:sz="0" w:space="0" w:color="auto" w:frame="1"/>
        </w:rPr>
      </w:pPr>
      <w:r w:rsidRPr="00D21518">
        <w:rPr>
          <w:rFonts w:eastAsia="Arial" w:cs="Arial"/>
        </w:rPr>
        <w:t>The standard membership cost for Serco is £48 for a full membership with reductions of up to £10 available for single site memberships. Fusion’s cost is currently £41, although it would have increased in this year's fees and charges.</w:t>
      </w:r>
    </w:p>
    <w:p w14:paraId="65FC7042" w14:textId="77777777" w:rsidR="00515CA3" w:rsidRPr="00320382" w:rsidRDefault="00515CA3" w:rsidP="00430B64">
      <w:pPr>
        <w:pStyle w:val="ListParagraph"/>
        <w:numPr>
          <w:ilvl w:val="0"/>
          <w:numId w:val="7"/>
        </w:numPr>
        <w:shd w:val="clear" w:color="auto" w:fill="FFFFFF" w:themeFill="background1"/>
        <w:tabs>
          <w:tab w:val="clear" w:pos="426"/>
          <w:tab w:val="left" w:pos="851"/>
        </w:tabs>
        <w:ind w:left="426" w:hanging="502"/>
        <w:jc w:val="both"/>
        <w:rPr>
          <w:rFonts w:eastAsia="Arial" w:cs="Arial"/>
          <w:color w:val="000000" w:themeColor="text1"/>
          <w:bdr w:val="none" w:sz="0" w:space="0" w:color="auto" w:frame="1"/>
        </w:rPr>
      </w:pPr>
      <w:r w:rsidRPr="002E090D">
        <w:rPr>
          <w:rFonts w:cs="Arial"/>
          <w:color w:val="000000" w:themeColor="text1"/>
        </w:rPr>
        <w:t xml:space="preserve">Serco are also introducing a </w:t>
      </w:r>
      <w:r w:rsidRPr="57ED982C">
        <w:rPr>
          <w:rFonts w:cs="Arial"/>
          <w:color w:val="000000" w:themeColor="text1"/>
        </w:rPr>
        <w:t>worthy</w:t>
      </w:r>
      <w:r w:rsidRPr="002E090D">
        <w:rPr>
          <w:rFonts w:cs="Arial"/>
          <w:color w:val="000000" w:themeColor="text1"/>
        </w:rPr>
        <w:t xml:space="preserve"> causes fund where they have committed 0.8% of their turnover (c50k) to be invested to increase inclusive usage at the centres.</w:t>
      </w:r>
    </w:p>
    <w:p w14:paraId="25BCCD93" w14:textId="1573EFA5" w:rsidR="00FF6056" w:rsidRPr="00E50056" w:rsidRDefault="00FF6056" w:rsidP="00430B64">
      <w:pPr>
        <w:pStyle w:val="ListParagraph"/>
        <w:numPr>
          <w:ilvl w:val="0"/>
          <w:numId w:val="7"/>
        </w:numPr>
        <w:shd w:val="clear" w:color="auto" w:fill="FFFFFF" w:themeFill="background1"/>
        <w:tabs>
          <w:tab w:val="clear" w:pos="426"/>
          <w:tab w:val="left" w:pos="851"/>
        </w:tabs>
        <w:ind w:left="426" w:hanging="502"/>
        <w:jc w:val="both"/>
        <w:rPr>
          <w:rFonts w:eastAsia="Arial" w:cs="Arial"/>
          <w:color w:val="000000" w:themeColor="text1"/>
          <w:bdr w:val="none" w:sz="0" w:space="0" w:color="auto" w:frame="1"/>
        </w:rPr>
      </w:pPr>
      <w:r w:rsidRPr="00320382">
        <w:rPr>
          <w:rFonts w:cs="Arial"/>
          <w:color w:val="000000" w:themeColor="text1"/>
        </w:rPr>
        <w:t xml:space="preserve">Additionally, the </w:t>
      </w:r>
      <w:r w:rsidR="00242B8C">
        <w:rPr>
          <w:rFonts w:cs="Arial"/>
          <w:color w:val="000000" w:themeColor="text1"/>
        </w:rPr>
        <w:t>C</w:t>
      </w:r>
      <w:r w:rsidRPr="00320382">
        <w:rPr>
          <w:rFonts w:cs="Arial"/>
          <w:color w:val="000000" w:themeColor="text1"/>
        </w:rPr>
        <w:t xml:space="preserve">ouncil </w:t>
      </w:r>
      <w:r>
        <w:rPr>
          <w:rFonts w:cs="Arial"/>
          <w:color w:val="000000" w:themeColor="text1"/>
        </w:rPr>
        <w:t xml:space="preserve">will </w:t>
      </w:r>
      <w:r w:rsidRPr="00320382">
        <w:rPr>
          <w:rFonts w:cs="Arial"/>
          <w:color w:val="000000" w:themeColor="text1"/>
        </w:rPr>
        <w:t xml:space="preserve">continue to offer a range of inclusive physical activity programmes shown in </w:t>
      </w:r>
      <w:r w:rsidR="00C12302">
        <w:rPr>
          <w:rFonts w:cs="Arial"/>
          <w:color w:val="000000" w:themeColor="text1"/>
        </w:rPr>
        <w:t>A</w:t>
      </w:r>
      <w:r w:rsidRPr="00320382">
        <w:rPr>
          <w:rFonts w:cs="Arial"/>
          <w:color w:val="000000" w:themeColor="text1"/>
        </w:rPr>
        <w:t xml:space="preserve">ppendix </w:t>
      </w:r>
      <w:r>
        <w:rPr>
          <w:rFonts w:cs="Arial"/>
          <w:color w:val="000000" w:themeColor="text1"/>
        </w:rPr>
        <w:t>6</w:t>
      </w:r>
      <w:r w:rsidRPr="00320382">
        <w:rPr>
          <w:rFonts w:cs="Arial"/>
          <w:color w:val="000000" w:themeColor="text1"/>
        </w:rPr>
        <w:t>, these include You Move which provides free and low-cost activities for families and Move Together which targets support for people with long term health conditions, with many of these sessions taking place in leisure centres. The Council has committed a further £50k in its consultation budget to further enhance these activity programmes next year</w:t>
      </w:r>
      <w:r w:rsidRPr="57ED982C">
        <w:rPr>
          <w:rFonts w:cs="Arial"/>
          <w:color w:val="000000" w:themeColor="text1"/>
        </w:rPr>
        <w:t>.</w:t>
      </w:r>
    </w:p>
    <w:p w14:paraId="24E27A02" w14:textId="77777777" w:rsidR="009F06B2" w:rsidRPr="00E50056" w:rsidRDefault="009F06B2" w:rsidP="00430B64">
      <w:pPr>
        <w:pStyle w:val="ListParagraph"/>
        <w:numPr>
          <w:ilvl w:val="0"/>
          <w:numId w:val="7"/>
        </w:numPr>
        <w:shd w:val="clear" w:color="auto" w:fill="FFFFFF" w:themeFill="background1"/>
        <w:tabs>
          <w:tab w:val="clear" w:pos="426"/>
          <w:tab w:val="left" w:pos="851"/>
        </w:tabs>
        <w:ind w:left="426" w:hanging="502"/>
        <w:jc w:val="both"/>
        <w:rPr>
          <w:rFonts w:eastAsia="Arial" w:cs="Arial"/>
          <w:color w:val="000000" w:themeColor="text1"/>
          <w:bdr w:val="none" w:sz="0" w:space="0" w:color="auto" w:frame="1"/>
        </w:rPr>
      </w:pPr>
      <w:r w:rsidRPr="00E50056">
        <w:rPr>
          <w:rFonts w:cs="Arial"/>
          <w:color w:val="000000" w:themeColor="text1"/>
        </w:rPr>
        <w:t>A year one review will take place to see how effective this approach is to increase usage, especially usage in target groups such as young people.</w:t>
      </w:r>
    </w:p>
    <w:p w14:paraId="192967BE" w14:textId="77777777" w:rsidR="0099727A" w:rsidRDefault="0099727A" w:rsidP="00430B64">
      <w:pPr>
        <w:pStyle w:val="ListParagraph"/>
        <w:numPr>
          <w:ilvl w:val="0"/>
          <w:numId w:val="7"/>
        </w:numPr>
        <w:shd w:val="clear" w:color="auto" w:fill="FFFFFF" w:themeFill="background1"/>
        <w:tabs>
          <w:tab w:val="clear" w:pos="426"/>
          <w:tab w:val="left" w:pos="851"/>
        </w:tabs>
        <w:ind w:left="426" w:hanging="502"/>
        <w:jc w:val="both"/>
        <w:rPr>
          <w:rFonts w:eastAsia="Arial" w:cs="Arial"/>
          <w:color w:val="000000" w:themeColor="text1"/>
        </w:rPr>
      </w:pPr>
      <w:r w:rsidRPr="57ED982C">
        <w:rPr>
          <w:rFonts w:eastAsia="Arial" w:cs="Arial"/>
          <w:color w:val="000000" w:themeColor="text1"/>
        </w:rPr>
        <w:t>Serco scored well in relation to employee development, with structured training plans, development for employees, and positive employee terms and conditions.</w:t>
      </w:r>
    </w:p>
    <w:p w14:paraId="719E99A5" w14:textId="01D8823D" w:rsidR="00702DE2" w:rsidRPr="00E50056" w:rsidRDefault="00702DE2" w:rsidP="00430B64">
      <w:pPr>
        <w:pStyle w:val="ListParagraph"/>
        <w:numPr>
          <w:ilvl w:val="0"/>
          <w:numId w:val="7"/>
        </w:numPr>
        <w:shd w:val="clear" w:color="auto" w:fill="FFFFFF" w:themeFill="background1"/>
        <w:tabs>
          <w:tab w:val="clear" w:pos="426"/>
          <w:tab w:val="left" w:pos="851"/>
        </w:tabs>
        <w:ind w:left="426" w:hanging="502"/>
        <w:rPr>
          <w:rFonts w:eastAsia="Arial" w:cs="Arial"/>
          <w:color w:val="000000" w:themeColor="text1"/>
          <w:bdr w:val="none" w:sz="0" w:space="0" w:color="auto" w:frame="1"/>
        </w:rPr>
      </w:pPr>
      <w:r w:rsidRPr="00E50056">
        <w:rPr>
          <w:rFonts w:cs="Arial"/>
          <w:color w:val="000000" w:themeColor="text1"/>
        </w:rPr>
        <w:t xml:space="preserve">Further information on the bid can be found in </w:t>
      </w:r>
      <w:r>
        <w:rPr>
          <w:rFonts w:cs="Arial"/>
          <w:color w:val="000000" w:themeColor="text1"/>
        </w:rPr>
        <w:t>A</w:t>
      </w:r>
      <w:r w:rsidRPr="00E50056">
        <w:rPr>
          <w:rFonts w:cs="Arial"/>
          <w:color w:val="000000" w:themeColor="text1"/>
        </w:rPr>
        <w:t xml:space="preserve">ppendix </w:t>
      </w:r>
      <w:r>
        <w:rPr>
          <w:rFonts w:cs="Arial"/>
          <w:color w:val="000000" w:themeColor="text1"/>
        </w:rPr>
        <w:t>3</w:t>
      </w:r>
      <w:r w:rsidRPr="00E50056">
        <w:rPr>
          <w:rFonts w:cs="Arial"/>
          <w:color w:val="000000" w:themeColor="text1"/>
        </w:rPr>
        <w:t>.</w:t>
      </w:r>
    </w:p>
    <w:p w14:paraId="3B3F071E" w14:textId="77777777" w:rsidR="004F06D3" w:rsidRDefault="004F06D3" w:rsidP="00702DE2">
      <w:pPr>
        <w:ind w:left="426" w:hanging="426"/>
      </w:pPr>
    </w:p>
    <w:p w14:paraId="0DF40200" w14:textId="4ED05D57" w:rsidR="004F06D3" w:rsidRDefault="004F06D3" w:rsidP="00702DE2">
      <w:pPr>
        <w:ind w:left="426" w:hanging="426"/>
        <w:rPr>
          <w:u w:val="single"/>
        </w:rPr>
      </w:pPr>
      <w:r>
        <w:rPr>
          <w:u w:val="single"/>
        </w:rPr>
        <w:t>Pre-contract Engagements, Negotiations and Mobilisation</w:t>
      </w:r>
    </w:p>
    <w:p w14:paraId="10C80243" w14:textId="77777777" w:rsidR="00BF7020" w:rsidRDefault="00BF7020" w:rsidP="00430B64">
      <w:pPr>
        <w:pStyle w:val="ListParagraph"/>
        <w:numPr>
          <w:ilvl w:val="0"/>
          <w:numId w:val="7"/>
        </w:numPr>
        <w:shd w:val="clear" w:color="auto" w:fill="FFFFFF" w:themeFill="background1"/>
        <w:tabs>
          <w:tab w:val="clear" w:pos="426"/>
        </w:tabs>
        <w:ind w:left="425" w:hanging="425"/>
        <w:jc w:val="both"/>
        <w:rPr>
          <w:rFonts w:cs="Arial"/>
          <w:color w:val="000000" w:themeColor="text1"/>
          <w:bdr w:val="none" w:sz="0" w:space="0" w:color="auto" w:frame="1"/>
        </w:rPr>
      </w:pPr>
      <w:bookmarkStart w:id="3" w:name="_Ref155203265"/>
      <w:r w:rsidRPr="007A2E30">
        <w:rPr>
          <w:bdr w:val="none" w:sz="0" w:space="0" w:color="auto" w:frame="1"/>
        </w:rPr>
        <w:t>Officers will continue due diligence checks with</w:t>
      </w:r>
      <w:r w:rsidRPr="31619BB5">
        <w:rPr>
          <w:rFonts w:cs="Arial"/>
        </w:rPr>
        <w:t xml:space="preserve"> Serco Leisure</w:t>
      </w:r>
      <w:r w:rsidRPr="007A2E30">
        <w:rPr>
          <w:bdr w:val="none" w:sz="0" w:space="0" w:color="auto" w:frame="1"/>
        </w:rPr>
        <w:t xml:space="preserve"> </w:t>
      </w:r>
      <w:r w:rsidRPr="007A2E30">
        <w:rPr>
          <w:rFonts w:cs="Arial"/>
          <w:bdr w:val="none" w:sz="0" w:space="0" w:color="auto" w:frame="1"/>
        </w:rPr>
        <w:t xml:space="preserve">as part of the pre-contract engagement </w:t>
      </w:r>
      <w:r w:rsidRPr="007A2E30">
        <w:rPr>
          <w:bdr w:val="none" w:sz="0" w:space="0" w:color="auto" w:frame="1"/>
        </w:rPr>
        <w:t xml:space="preserve">to ensure that the information </w:t>
      </w:r>
      <w:r>
        <w:t>submitted by them during the procurement is accurate</w:t>
      </w:r>
      <w:r w:rsidRPr="007A2E30">
        <w:rPr>
          <w:bdr w:val="none" w:sz="0" w:space="0" w:color="auto" w:frame="1"/>
        </w:rPr>
        <w:t xml:space="preserve">. Our </w:t>
      </w:r>
      <w:r w:rsidRPr="2B74C623">
        <w:rPr>
          <w:rFonts w:cs="Arial"/>
        </w:rPr>
        <w:t xml:space="preserve">due diligence has not identified </w:t>
      </w:r>
      <w:r>
        <w:rPr>
          <w:rFonts w:cs="Arial"/>
        </w:rPr>
        <w:t xml:space="preserve">issues with </w:t>
      </w:r>
      <w:r w:rsidRPr="31619BB5">
        <w:rPr>
          <w:rFonts w:cs="Arial"/>
        </w:rPr>
        <w:t>Serco Leisure</w:t>
      </w:r>
      <w:r w:rsidRPr="007A2E30">
        <w:rPr>
          <w:rFonts w:cs="Arial"/>
          <w:color w:val="FF0000"/>
          <w:bdr w:val="none" w:sz="0" w:space="0" w:color="auto" w:frame="1"/>
        </w:rPr>
        <w:t xml:space="preserve"> </w:t>
      </w:r>
      <w:r>
        <w:rPr>
          <w:rFonts w:cs="Arial"/>
          <w:bdr w:val="none" w:sz="0" w:space="0" w:color="auto" w:frame="1"/>
        </w:rPr>
        <w:t>in</w:t>
      </w:r>
      <w:r w:rsidRPr="007A2E30">
        <w:rPr>
          <w:rFonts w:cs="Arial"/>
          <w:bdr w:val="none" w:sz="0" w:space="0" w:color="auto" w:frame="1"/>
        </w:rPr>
        <w:t xml:space="preserve"> deliver the Council’s leisure services, nor that awarding the contract to them would adversely impact the Council’s reputation.</w:t>
      </w:r>
      <w:bookmarkEnd w:id="3"/>
      <w:r w:rsidRPr="007A2E30">
        <w:rPr>
          <w:rFonts w:cs="Arial"/>
          <w:bdr w:val="none" w:sz="0" w:space="0" w:color="auto" w:frame="1"/>
        </w:rPr>
        <w:t xml:space="preserve"> </w:t>
      </w:r>
    </w:p>
    <w:p w14:paraId="1831E293" w14:textId="77777777" w:rsidR="005B77FB" w:rsidRPr="00FA7FF8" w:rsidRDefault="005B77FB" w:rsidP="00430B64">
      <w:pPr>
        <w:pStyle w:val="ListParagraph"/>
        <w:numPr>
          <w:ilvl w:val="0"/>
          <w:numId w:val="7"/>
        </w:numPr>
        <w:shd w:val="clear" w:color="auto" w:fill="FFFFFF" w:themeFill="background1"/>
        <w:tabs>
          <w:tab w:val="clear" w:pos="426"/>
        </w:tabs>
        <w:ind w:left="426" w:hanging="426"/>
        <w:jc w:val="both"/>
        <w:rPr>
          <w:rFonts w:cs="Arial"/>
          <w:color w:val="000000" w:themeColor="text1"/>
          <w:bdr w:val="none" w:sz="0" w:space="0" w:color="auto" w:frame="1"/>
        </w:rPr>
      </w:pPr>
      <w:r>
        <w:rPr>
          <w:rFonts w:cs="Arial"/>
          <w:bdr w:val="none" w:sz="0" w:space="0" w:color="auto" w:frame="1"/>
        </w:rPr>
        <w:t xml:space="preserve">We are mindful of the reducing time available before the ending of the current contract with Fusion on </w:t>
      </w:r>
      <w:r w:rsidRPr="2958F166">
        <w:rPr>
          <w:rFonts w:cs="Arial"/>
        </w:rPr>
        <w:t>29</w:t>
      </w:r>
      <w:r>
        <w:rPr>
          <w:rFonts w:cs="Arial"/>
          <w:bdr w:val="none" w:sz="0" w:space="0" w:color="auto" w:frame="1"/>
        </w:rPr>
        <w:t xml:space="preserve"> March 2024, and the launch of the new with </w:t>
      </w:r>
      <w:r w:rsidRPr="31619BB5">
        <w:rPr>
          <w:rFonts w:cs="Arial"/>
        </w:rPr>
        <w:t>Serco Leisure</w:t>
      </w:r>
      <w:r>
        <w:rPr>
          <w:rFonts w:cs="Arial"/>
          <w:bdr w:val="none" w:sz="0" w:space="0" w:color="auto" w:frame="1"/>
        </w:rPr>
        <w:t xml:space="preserve"> from</w:t>
      </w:r>
      <w:r w:rsidRPr="2B74C623">
        <w:rPr>
          <w:rFonts w:cs="Arial"/>
        </w:rPr>
        <w:t xml:space="preserve"> 30 March</w:t>
      </w:r>
      <w:r>
        <w:rPr>
          <w:rFonts w:cs="Arial"/>
          <w:bdr w:val="none" w:sz="0" w:space="0" w:color="auto" w:frame="1"/>
        </w:rPr>
        <w:t>. To</w:t>
      </w:r>
      <w:r w:rsidRPr="00FA7FF8">
        <w:rPr>
          <w:rFonts w:cs="Arial"/>
          <w:bdr w:val="none" w:sz="0" w:space="0" w:color="auto" w:frame="1"/>
        </w:rPr>
        <w:t xml:space="preserve"> ensure the smooth transfer of services</w:t>
      </w:r>
      <w:r>
        <w:rPr>
          <w:rFonts w:cs="Arial"/>
          <w:bdr w:val="none" w:sz="0" w:space="0" w:color="auto" w:frame="1"/>
        </w:rPr>
        <w:t>, i</w:t>
      </w:r>
      <w:r w:rsidRPr="00FA7FF8">
        <w:rPr>
          <w:rFonts w:cs="Arial"/>
          <w:bdr w:val="none" w:sz="0" w:space="0" w:color="auto" w:frame="1"/>
        </w:rPr>
        <w:t xml:space="preserve">n parallel to our due diligence, officers will seek to engage with </w:t>
      </w:r>
      <w:r w:rsidRPr="31619BB5">
        <w:rPr>
          <w:rFonts w:cs="Arial"/>
        </w:rPr>
        <w:t>Serco Leisure</w:t>
      </w:r>
      <w:r w:rsidRPr="00FA7FF8">
        <w:rPr>
          <w:rFonts w:cs="Arial"/>
          <w:color w:val="FF0000"/>
          <w:bdr w:val="none" w:sz="0" w:space="0" w:color="auto" w:frame="1"/>
        </w:rPr>
        <w:t xml:space="preserve"> </w:t>
      </w:r>
      <w:r w:rsidRPr="31619BB5">
        <w:rPr>
          <w:rFonts w:cs="Arial"/>
          <w:color w:val="auto"/>
          <w:bdr w:val="none" w:sz="0" w:space="0" w:color="auto" w:frame="1"/>
        </w:rPr>
        <w:t>as early as possible</w:t>
      </w:r>
      <w:r w:rsidRPr="00FA7FF8">
        <w:rPr>
          <w:rFonts w:cs="Arial"/>
          <w:color w:val="FF0000"/>
          <w:bdr w:val="none" w:sz="0" w:space="0" w:color="auto" w:frame="1"/>
        </w:rPr>
        <w:t xml:space="preserve"> </w:t>
      </w:r>
      <w:r w:rsidRPr="00FA7FF8">
        <w:rPr>
          <w:rFonts w:cs="Arial"/>
          <w:bdr w:val="none" w:sz="0" w:space="0" w:color="auto" w:frame="1"/>
        </w:rPr>
        <w:t xml:space="preserve">to finalise service </w:t>
      </w:r>
      <w:r w:rsidRPr="00FA7FF8">
        <w:rPr>
          <w:rFonts w:cs="Arial"/>
          <w:color w:val="auto"/>
          <w:bdr w:val="none" w:sz="0" w:space="0" w:color="auto" w:frame="1"/>
        </w:rPr>
        <w:t xml:space="preserve">requirements and the contract, and to agree mobilisation priorities. We are planning to engage swiftly to:   </w:t>
      </w:r>
    </w:p>
    <w:p w14:paraId="5DC213AE" w14:textId="4D07F182" w:rsidR="000F06E7" w:rsidRPr="000F06E7" w:rsidRDefault="000F06E7" w:rsidP="00430B64">
      <w:pPr>
        <w:pStyle w:val="ListParagraph"/>
        <w:numPr>
          <w:ilvl w:val="1"/>
          <w:numId w:val="7"/>
        </w:numPr>
        <w:jc w:val="both"/>
      </w:pPr>
      <w:r>
        <w:t>C</w:t>
      </w:r>
      <w:r w:rsidRPr="000F06E7">
        <w:t xml:space="preserve">omplete pre-contract discussions to see that it contains the appropriate, legally advised, provisions for ensuring the delivery of expected obligations and performance by Serco Leisure, and that it contains the right provision for actions where such requirements may be at risk of not being met.  We will also engage early with Serco Leisure in relation to any obligations in the contract which many need to be suspended because of the limited period for </w:t>
      </w:r>
      <w:r w:rsidRPr="000F06E7">
        <w:lastRenderedPageBreak/>
        <w:t>mobilisation. Any temporary relief from obligations will be limited to a period of up to 2 months from the contract start date; and</w:t>
      </w:r>
    </w:p>
    <w:p w14:paraId="38662D3D" w14:textId="4ED6E06B" w:rsidR="00D4137C" w:rsidRPr="00D4137C" w:rsidRDefault="00D4137C" w:rsidP="00430B64">
      <w:pPr>
        <w:pStyle w:val="ListParagraph"/>
        <w:numPr>
          <w:ilvl w:val="1"/>
          <w:numId w:val="7"/>
        </w:numPr>
        <w:jc w:val="both"/>
      </w:pPr>
      <w:r>
        <w:t>A</w:t>
      </w:r>
      <w:r w:rsidRPr="00D4137C">
        <w:t>rrange mobilisation priorities with Serco Leisure. They already have extensive plans detailing how they will ensure a smooth transition from Fusion’s system to their own. However, we will need to engage early to ensure that their plans can be implemented within the reduced mobilisation period available, and to identify elements of functions that may be at risk of delay where the Council may need to support.</w:t>
      </w:r>
    </w:p>
    <w:p w14:paraId="123DB06B" w14:textId="77777777" w:rsidR="00D33AFE" w:rsidRPr="00BA1B3D" w:rsidRDefault="00D33AFE" w:rsidP="00430B64">
      <w:pPr>
        <w:pStyle w:val="ListParagraph"/>
        <w:numPr>
          <w:ilvl w:val="0"/>
          <w:numId w:val="7"/>
        </w:numPr>
        <w:shd w:val="clear" w:color="auto" w:fill="FFFFFF" w:themeFill="background1"/>
        <w:tabs>
          <w:tab w:val="clear" w:pos="426"/>
        </w:tabs>
        <w:spacing w:after="0"/>
        <w:ind w:left="425" w:hanging="425"/>
        <w:jc w:val="both"/>
        <w:rPr>
          <w:rFonts w:cs="Arial"/>
          <w:color w:val="auto"/>
        </w:rPr>
      </w:pPr>
      <w:bookmarkStart w:id="4" w:name="_Ref155203283"/>
      <w:r w:rsidRPr="00480488">
        <w:rPr>
          <w:rFonts w:cs="Arial"/>
          <w:color w:val="auto"/>
          <w:bdr w:val="none" w:sz="0" w:space="0" w:color="auto" w:frame="1"/>
        </w:rPr>
        <w:t xml:space="preserve">To support the mobilisation plans and actions of </w:t>
      </w:r>
      <w:r w:rsidRPr="31619BB5">
        <w:rPr>
          <w:rFonts w:cs="Arial"/>
        </w:rPr>
        <w:t xml:space="preserve">Serco Leisure, and to further mitigate any risks to the smooth transition of services, we </w:t>
      </w:r>
      <w:r w:rsidRPr="00480488">
        <w:rPr>
          <w:rFonts w:cs="Arial"/>
          <w:color w:val="auto"/>
          <w:bdr w:val="none" w:sz="0" w:space="0" w:color="auto" w:frame="1"/>
        </w:rPr>
        <w:t xml:space="preserve">are </w:t>
      </w:r>
      <w:r>
        <w:rPr>
          <w:rFonts w:cs="Arial"/>
          <w:color w:val="auto"/>
          <w:bdr w:val="none" w:sz="0" w:space="0" w:color="auto" w:frame="1"/>
        </w:rPr>
        <w:t xml:space="preserve">preparing </w:t>
      </w:r>
      <w:r w:rsidRPr="00480488">
        <w:rPr>
          <w:rFonts w:cs="Arial"/>
          <w:color w:val="auto"/>
          <w:bdr w:val="none" w:sz="0" w:space="0" w:color="auto" w:frame="1"/>
        </w:rPr>
        <w:t>our</w:t>
      </w:r>
      <w:r>
        <w:rPr>
          <w:rFonts w:cs="Arial"/>
          <w:color w:val="auto"/>
          <w:bdr w:val="none" w:sz="0" w:space="0" w:color="auto" w:frame="1"/>
        </w:rPr>
        <w:t xml:space="preserve"> additional </w:t>
      </w:r>
      <w:r w:rsidRPr="00480488">
        <w:rPr>
          <w:rFonts w:cs="Arial"/>
          <w:color w:val="auto"/>
          <w:bdr w:val="none" w:sz="0" w:space="0" w:color="auto" w:frame="1"/>
        </w:rPr>
        <w:t>transition plan and arrangements which set out the main steps that we will take to secure the effective handover from 29</w:t>
      </w:r>
      <w:r w:rsidRPr="1768DCA7">
        <w:rPr>
          <w:rFonts w:cs="Arial"/>
          <w:color w:val="auto"/>
          <w:bdr w:val="none" w:sz="0" w:space="0" w:color="auto" w:frame="1"/>
          <w:vertAlign w:val="superscript"/>
        </w:rPr>
        <w:t>th</w:t>
      </w:r>
      <w:r w:rsidRPr="00480488">
        <w:rPr>
          <w:rFonts w:cs="Arial"/>
          <w:color w:val="auto"/>
          <w:bdr w:val="none" w:sz="0" w:space="0" w:color="auto" w:frame="1"/>
        </w:rPr>
        <w:t xml:space="preserve"> March. </w:t>
      </w:r>
      <w:r>
        <w:rPr>
          <w:rFonts w:cs="Arial"/>
          <w:color w:val="auto"/>
          <w:bdr w:val="none" w:sz="0" w:space="0" w:color="auto" w:frame="1"/>
        </w:rPr>
        <w:t xml:space="preserve">We are focussing on </w:t>
      </w:r>
      <w:r w:rsidRPr="2B74C623">
        <w:rPr>
          <w:rFonts w:cs="Arial"/>
          <w:color w:val="auto"/>
        </w:rPr>
        <w:t>identifying</w:t>
      </w:r>
      <w:r w:rsidRPr="001B5253">
        <w:rPr>
          <w:rFonts w:cs="Arial"/>
          <w:color w:val="auto"/>
          <w:bdr w:val="none" w:sz="0" w:space="0" w:color="auto" w:frame="1"/>
        </w:rPr>
        <w:t xml:space="preserve"> areas where the Council may need to intervene to support </w:t>
      </w:r>
      <w:r w:rsidRPr="31619BB5">
        <w:rPr>
          <w:rFonts w:cs="Arial"/>
        </w:rPr>
        <w:t xml:space="preserve">Serco Leisure </w:t>
      </w:r>
      <w:r w:rsidRPr="001B5253">
        <w:rPr>
          <w:rFonts w:cs="Arial"/>
          <w:color w:val="auto"/>
        </w:rPr>
        <w:t xml:space="preserve">to ensure minimal disruption during transfer </w:t>
      </w:r>
      <w:r>
        <w:rPr>
          <w:rFonts w:cs="Arial"/>
          <w:color w:val="auto"/>
        </w:rPr>
        <w:t xml:space="preserve">period. </w:t>
      </w:r>
      <w:bookmarkEnd w:id="4"/>
      <w:r>
        <w:rPr>
          <w:rFonts w:cs="Arial"/>
          <w:color w:val="auto"/>
        </w:rPr>
        <w:t xml:space="preserve"> Our early assessment is that this is likely to relate to switching over of membership data systems and related back–office functions.  Therefore, to complement and support </w:t>
      </w:r>
      <w:r w:rsidRPr="31619BB5">
        <w:rPr>
          <w:rFonts w:cs="Arial"/>
        </w:rPr>
        <w:t>Serco Leisure’s mob</w:t>
      </w:r>
      <w:r w:rsidRPr="00BA1B3D">
        <w:rPr>
          <w:rFonts w:cs="Arial"/>
        </w:rPr>
        <w:t xml:space="preserve">ilisation, and to ensure smooth transfer, we will:  </w:t>
      </w:r>
    </w:p>
    <w:p w14:paraId="600B65C6" w14:textId="1F2E2543" w:rsidR="008D572C" w:rsidRPr="00BA1B3D" w:rsidRDefault="008D572C" w:rsidP="00430B64">
      <w:pPr>
        <w:pStyle w:val="NormalWeb"/>
        <w:numPr>
          <w:ilvl w:val="1"/>
          <w:numId w:val="7"/>
        </w:numPr>
        <w:shd w:val="clear" w:color="auto" w:fill="FFFFFF" w:themeFill="background1"/>
        <w:spacing w:before="120" w:beforeAutospacing="0" w:after="0" w:afterAutospacing="0"/>
        <w:jc w:val="both"/>
        <w:rPr>
          <w:rFonts w:ascii="Arial" w:hAnsi="Arial" w:cs="Arial"/>
          <w:color w:val="000000" w:themeColor="text1"/>
        </w:rPr>
      </w:pPr>
      <w:r>
        <w:rPr>
          <w:rFonts w:ascii="Arial" w:hAnsi="Arial" w:cs="Arial"/>
          <w:color w:val="auto"/>
        </w:rPr>
        <w:t>W</w:t>
      </w:r>
      <w:r w:rsidRPr="00BA1B3D">
        <w:rPr>
          <w:rFonts w:ascii="Arial" w:hAnsi="Arial" w:cs="Arial"/>
          <w:color w:val="auto"/>
        </w:rPr>
        <w:t xml:space="preserve">ork with Fusion </w:t>
      </w:r>
      <w:r w:rsidRPr="57ED982C">
        <w:rPr>
          <w:rFonts w:ascii="Arial" w:hAnsi="Arial" w:cs="Arial"/>
          <w:color w:val="auto"/>
        </w:rPr>
        <w:t>on</w:t>
      </w:r>
      <w:r w:rsidRPr="00BA1B3D">
        <w:rPr>
          <w:rFonts w:ascii="Arial" w:hAnsi="Arial" w:cs="Arial"/>
          <w:color w:val="auto"/>
        </w:rPr>
        <w:t xml:space="preserve"> their decommissioning and </w:t>
      </w:r>
      <w:r w:rsidRPr="00BA1B3D">
        <w:rPr>
          <w:rFonts w:ascii="Arial" w:hAnsi="Arial" w:cs="Arial"/>
        </w:rPr>
        <w:t xml:space="preserve">hand-over plans, and to </w:t>
      </w:r>
      <w:r w:rsidRPr="00BA1B3D">
        <w:rPr>
          <w:rFonts w:ascii="Arial" w:hAnsi="Arial" w:cs="Arial"/>
          <w:color w:val="000000" w:themeColor="text1"/>
        </w:rPr>
        <w:t xml:space="preserve">complete their exiting arrangements; </w:t>
      </w:r>
    </w:p>
    <w:p w14:paraId="1B03AA27" w14:textId="715588E1" w:rsidR="00D75CE6" w:rsidRPr="00BA1B3D" w:rsidRDefault="00D75CE6" w:rsidP="00430B64">
      <w:pPr>
        <w:pStyle w:val="NormalWeb"/>
        <w:numPr>
          <w:ilvl w:val="1"/>
          <w:numId w:val="7"/>
        </w:numPr>
        <w:shd w:val="clear" w:color="auto" w:fill="FFFFFF" w:themeFill="background1"/>
        <w:spacing w:before="120" w:beforeAutospacing="0" w:after="0" w:afterAutospacing="0"/>
        <w:jc w:val="both"/>
        <w:rPr>
          <w:rFonts w:ascii="Arial" w:hAnsi="Arial" w:cs="Arial"/>
          <w:color w:val="000000" w:themeColor="text1"/>
        </w:rPr>
      </w:pPr>
      <w:r>
        <w:rPr>
          <w:rFonts w:ascii="Arial" w:hAnsi="Arial" w:cs="Arial"/>
          <w:color w:val="000000" w:themeColor="text1"/>
        </w:rPr>
        <w:t>E</w:t>
      </w:r>
      <w:r w:rsidRPr="00BA1B3D">
        <w:rPr>
          <w:rFonts w:ascii="Arial" w:hAnsi="Arial" w:cs="Arial"/>
          <w:color w:val="000000" w:themeColor="text1"/>
        </w:rPr>
        <w:t xml:space="preserve">ngage with Fusion, should the need arise, to put into place a short-term variation to the current contract to specifically enable the continuation of essential members data systems and related back-office support functions for a period of up to 2 months to ensure the continuation of these specific functions and ensure a smooth transition, to the end May 2024.  Fusion have confirmed their willing to agree to such a contract variation to provide these facilities for this period at reasonable costs; and </w:t>
      </w:r>
    </w:p>
    <w:p w14:paraId="1C264895" w14:textId="139213C7" w:rsidR="00545059" w:rsidRDefault="00545059" w:rsidP="00430B64">
      <w:pPr>
        <w:pStyle w:val="NormalWeb"/>
        <w:numPr>
          <w:ilvl w:val="1"/>
          <w:numId w:val="7"/>
        </w:numPr>
        <w:shd w:val="clear" w:color="auto" w:fill="FFFFFF" w:themeFill="background1"/>
        <w:spacing w:before="120" w:beforeAutospacing="0" w:after="0" w:afterAutospacing="0"/>
        <w:jc w:val="both"/>
        <w:rPr>
          <w:rFonts w:ascii="Arial" w:eastAsia="Arial" w:hAnsi="Arial" w:cs="Arial"/>
          <w:color w:val="000000" w:themeColor="text1"/>
        </w:rPr>
      </w:pPr>
      <w:r>
        <w:rPr>
          <w:rFonts w:ascii="Arial" w:eastAsia="Arial" w:hAnsi="Arial" w:cs="Arial"/>
          <w:color w:val="000000" w:themeColor="text1"/>
        </w:rPr>
        <w:t>E</w:t>
      </w:r>
      <w:r w:rsidRPr="00BA1B3D">
        <w:rPr>
          <w:rFonts w:ascii="Arial" w:eastAsia="Arial" w:hAnsi="Arial" w:cs="Arial"/>
          <w:color w:val="000000" w:themeColor="text1"/>
        </w:rPr>
        <w:t xml:space="preserve">stablish internal contract and client management arrangements </w:t>
      </w:r>
      <w:r w:rsidRPr="57ED982C">
        <w:rPr>
          <w:rFonts w:ascii="Arial" w:eastAsia="Arial" w:hAnsi="Arial" w:cs="Arial"/>
          <w:color w:val="000000" w:themeColor="text1"/>
        </w:rPr>
        <w:t>to ensure that</w:t>
      </w:r>
      <w:r w:rsidRPr="00BA1B3D">
        <w:rPr>
          <w:rFonts w:ascii="Arial" w:eastAsia="Arial" w:hAnsi="Arial" w:cs="Arial"/>
          <w:color w:val="000000" w:themeColor="text1"/>
        </w:rPr>
        <w:t xml:space="preserve"> the Leisure Service contract</w:t>
      </w:r>
      <w:r w:rsidRPr="57ED982C">
        <w:rPr>
          <w:rFonts w:ascii="Arial" w:eastAsia="Arial" w:hAnsi="Arial" w:cs="Arial"/>
          <w:color w:val="000000" w:themeColor="text1"/>
        </w:rPr>
        <w:t xml:space="preserve"> is effectively managed and that its expected performance is delivered. The preparation of these arrangements will be informed by the detail review of corporate commissioning and clienting arrangements we are currently carrying out, and the planned full review of our Communities Services.    </w:t>
      </w:r>
    </w:p>
    <w:p w14:paraId="1A15632A" w14:textId="7D3FCE2B" w:rsidR="00633578" w:rsidRPr="002B6836" w:rsidRDefault="00260D9A" w:rsidP="002B6836">
      <w:pPr>
        <w:pStyle w:val="Heading1"/>
      </w:pPr>
      <w:r>
        <w:t>Conclusions and Recommendation</w:t>
      </w:r>
    </w:p>
    <w:p w14:paraId="12286DB3" w14:textId="77777777" w:rsidR="00E641D4" w:rsidRPr="00D82583" w:rsidRDefault="00E641D4" w:rsidP="00430B64">
      <w:pPr>
        <w:pStyle w:val="ListParagraph"/>
        <w:numPr>
          <w:ilvl w:val="0"/>
          <w:numId w:val="7"/>
        </w:numPr>
        <w:shd w:val="clear" w:color="auto" w:fill="FFFFFF" w:themeFill="background1"/>
        <w:tabs>
          <w:tab w:val="clear" w:pos="426"/>
        </w:tabs>
        <w:ind w:left="425" w:hanging="425"/>
        <w:jc w:val="both"/>
        <w:rPr>
          <w:rFonts w:cs="Arial"/>
        </w:rPr>
      </w:pPr>
      <w:r w:rsidRPr="2B74C623">
        <w:rPr>
          <w:rFonts w:cs="Arial"/>
        </w:rPr>
        <w:t>Delivering the future leisure services through in-house arrangements is not financially feasible or viable to the Council. There would be real risks to the transfer of services,</w:t>
      </w:r>
      <w:r w:rsidRPr="00263CAF">
        <w:rPr>
          <w:rFonts w:cs="Arial"/>
          <w:bdr w:val="none" w:sz="0" w:space="0" w:color="auto" w:frame="1"/>
        </w:rPr>
        <w:t xml:space="preserve"> further deterioration in service quality and the Council’s reputation.</w:t>
      </w:r>
    </w:p>
    <w:p w14:paraId="11D9DABC" w14:textId="77777777" w:rsidR="00D82583" w:rsidRDefault="00D82583" w:rsidP="00430B64">
      <w:pPr>
        <w:pStyle w:val="ListParagraph"/>
        <w:numPr>
          <w:ilvl w:val="0"/>
          <w:numId w:val="7"/>
        </w:numPr>
        <w:shd w:val="clear" w:color="auto" w:fill="FFFFFF" w:themeFill="background1"/>
        <w:tabs>
          <w:tab w:val="clear" w:pos="426"/>
        </w:tabs>
        <w:ind w:left="425" w:hanging="425"/>
        <w:jc w:val="both"/>
        <w:rPr>
          <w:rFonts w:cs="Arial"/>
          <w:color w:val="000000" w:themeColor="text1"/>
        </w:rPr>
      </w:pPr>
      <w:r w:rsidRPr="00263CAF">
        <w:rPr>
          <w:rFonts w:cs="Arial"/>
        </w:rPr>
        <w:t>The Leisure Futures contract may only</w:t>
      </w:r>
      <w:r w:rsidRPr="2958F166">
        <w:rPr>
          <w:rFonts w:cs="Arial"/>
        </w:rPr>
        <w:t xml:space="preserve"> be awarded in accordance with</w:t>
      </w:r>
      <w:r w:rsidRPr="00263CAF">
        <w:rPr>
          <w:rFonts w:cs="Arial"/>
        </w:rPr>
        <w:t xml:space="preserve"> the requirements of procurement law which stipulate that having identified a compliant bid that best meets the Council’s specified criteria the Council may not award the contract to another provider</w:t>
      </w:r>
      <w:r w:rsidRPr="00263CAF">
        <w:rPr>
          <w:rStyle w:val="cf01"/>
          <w:rFonts w:cs="Arial"/>
        </w:rPr>
        <w:t xml:space="preserve">. </w:t>
      </w:r>
      <w:r w:rsidRPr="00263CAF">
        <w:rPr>
          <w:rFonts w:cs="Arial"/>
        </w:rPr>
        <w:t xml:space="preserve">The tender from </w:t>
      </w:r>
      <w:r w:rsidRPr="31619BB5">
        <w:rPr>
          <w:rFonts w:cs="Arial"/>
        </w:rPr>
        <w:t>Serco Leisure</w:t>
      </w:r>
      <w:r w:rsidRPr="00263CAF">
        <w:rPr>
          <w:rFonts w:cs="Arial"/>
        </w:rPr>
        <w:t xml:space="preserve"> has been identified as the winning bid as it scored best against the Council’s specified criteria and satisfies the qualitative and costs requirements for the leisure services.</w:t>
      </w:r>
    </w:p>
    <w:p w14:paraId="0BD79D51" w14:textId="77777777" w:rsidR="00DD133F" w:rsidRDefault="00DD133F" w:rsidP="00430B64">
      <w:pPr>
        <w:pStyle w:val="ListParagraph"/>
        <w:numPr>
          <w:ilvl w:val="0"/>
          <w:numId w:val="7"/>
        </w:numPr>
        <w:shd w:val="clear" w:color="auto" w:fill="FFFFFF" w:themeFill="background1"/>
        <w:tabs>
          <w:tab w:val="clear" w:pos="426"/>
        </w:tabs>
        <w:ind w:left="425" w:hanging="425"/>
        <w:jc w:val="both"/>
        <w:rPr>
          <w:rFonts w:cs="Arial"/>
          <w:color w:val="000000" w:themeColor="text1"/>
        </w:rPr>
      </w:pPr>
      <w:r w:rsidRPr="00263CAF">
        <w:rPr>
          <w:rFonts w:cs="Arial"/>
        </w:rPr>
        <w:t xml:space="preserve">We recommend, therefore, that subject to completing due diligence and contract negotiations, Council should approve the award of a 10-year contract (with a five-year extension option) to </w:t>
      </w:r>
      <w:r w:rsidRPr="31619BB5">
        <w:rPr>
          <w:rFonts w:cs="Arial"/>
        </w:rPr>
        <w:t>Serco Leisure</w:t>
      </w:r>
      <w:r w:rsidRPr="00263CAF">
        <w:rPr>
          <w:rFonts w:cs="Arial"/>
          <w:color w:val="FF0000"/>
          <w:bdr w:val="none" w:sz="0" w:space="0" w:color="auto" w:frame="1"/>
        </w:rPr>
        <w:t xml:space="preserve"> </w:t>
      </w:r>
      <w:r w:rsidRPr="00263CAF">
        <w:rPr>
          <w:rFonts w:cs="Arial"/>
        </w:rPr>
        <w:t>to manage and develop the Council’s three leisure centres, Hinksey Outdoor Pool and the Oxford Ice Rink.</w:t>
      </w:r>
    </w:p>
    <w:p w14:paraId="6D0271EF" w14:textId="477F007F" w:rsidR="00D82583" w:rsidRPr="00E7006C" w:rsidRDefault="00E7006C" w:rsidP="00430B64">
      <w:pPr>
        <w:pStyle w:val="ListParagraph"/>
        <w:numPr>
          <w:ilvl w:val="0"/>
          <w:numId w:val="7"/>
        </w:numPr>
        <w:shd w:val="clear" w:color="auto" w:fill="FFFFFF" w:themeFill="background1"/>
        <w:tabs>
          <w:tab w:val="clear" w:pos="426"/>
        </w:tabs>
        <w:spacing w:after="0"/>
        <w:ind w:left="425" w:hanging="425"/>
        <w:jc w:val="both"/>
        <w:rPr>
          <w:rFonts w:cs="Arial"/>
          <w:color w:val="000000" w:themeColor="text1"/>
        </w:rPr>
      </w:pPr>
      <w:r w:rsidRPr="00263CAF">
        <w:rPr>
          <w:rFonts w:cs="Arial"/>
        </w:rPr>
        <w:lastRenderedPageBreak/>
        <w:t xml:space="preserve">With the current contract due to expire on </w:t>
      </w:r>
      <w:r w:rsidRPr="2958F166">
        <w:rPr>
          <w:rFonts w:cs="Arial"/>
        </w:rPr>
        <w:t>29</w:t>
      </w:r>
      <w:r w:rsidRPr="2958F166" w:rsidDel="7D11BF68">
        <w:rPr>
          <w:rFonts w:cs="Arial"/>
        </w:rPr>
        <w:t xml:space="preserve"> </w:t>
      </w:r>
      <w:r w:rsidRPr="00263CAF">
        <w:rPr>
          <w:rFonts w:cs="Arial"/>
        </w:rPr>
        <w:t xml:space="preserve">March 2024, we recommend Cabinet agrees for officers to engage with </w:t>
      </w:r>
      <w:r w:rsidRPr="31619BB5">
        <w:rPr>
          <w:rFonts w:cs="Arial"/>
        </w:rPr>
        <w:t>Serco Leisure</w:t>
      </w:r>
      <w:r w:rsidRPr="00263CAF">
        <w:rPr>
          <w:rFonts w:cs="Arial"/>
        </w:rPr>
        <w:t xml:space="preserve"> to complete due diligence and agree the final terms of the contract as soon as practicable, and to delegate responsibility to the Interim Executive Director Communities and People, in consultation with the lead member for Leisure and Parks services, to take all necessary steps to implement the recommendations and decisions of this report.  </w:t>
      </w:r>
    </w:p>
    <w:p w14:paraId="1A156355" w14:textId="77777777" w:rsidR="0040736F" w:rsidRPr="002B6836" w:rsidRDefault="002329CF" w:rsidP="002B6836">
      <w:pPr>
        <w:pStyle w:val="Heading1"/>
      </w:pPr>
      <w:r w:rsidRPr="002B6836">
        <w:t>Financial implications</w:t>
      </w:r>
    </w:p>
    <w:p w14:paraId="6678E500" w14:textId="77777777" w:rsidR="00FE41A6" w:rsidRPr="00D67273" w:rsidRDefault="00FE41A6" w:rsidP="00430B64">
      <w:pPr>
        <w:pStyle w:val="ListParagraph"/>
        <w:numPr>
          <w:ilvl w:val="0"/>
          <w:numId w:val="7"/>
        </w:numPr>
        <w:shd w:val="clear" w:color="auto" w:fill="FFFFFF" w:themeFill="background1"/>
        <w:tabs>
          <w:tab w:val="clear" w:pos="426"/>
        </w:tabs>
        <w:ind w:left="425" w:hanging="425"/>
        <w:jc w:val="both"/>
        <w:rPr>
          <w:rFonts w:cs="Arial"/>
          <w:color w:val="000000" w:themeColor="text1"/>
        </w:rPr>
      </w:pPr>
      <w:r w:rsidRPr="2958F166">
        <w:rPr>
          <w:rFonts w:cs="Arial"/>
        </w:rPr>
        <w:t xml:space="preserve">The MTFP agreed at Cabinet in December 2023 </w:t>
      </w:r>
      <w:r w:rsidRPr="2958F166" w:rsidDel="00F43EDA">
        <w:rPr>
          <w:rFonts w:cs="Arial"/>
        </w:rPr>
        <w:t xml:space="preserve">as part of the </w:t>
      </w:r>
      <w:r w:rsidRPr="2958F166">
        <w:rPr>
          <w:rFonts w:cs="Arial"/>
        </w:rPr>
        <w:t xml:space="preserve">Consultation budget included a management fee income assumption of £500k per annum.  Based on the final bid submitted by </w:t>
      </w:r>
      <w:r w:rsidRPr="31619BB5">
        <w:rPr>
          <w:rFonts w:cs="Arial"/>
        </w:rPr>
        <w:t>Serco Leisure</w:t>
      </w:r>
      <w:r w:rsidRPr="2958F166">
        <w:rPr>
          <w:rFonts w:cs="Arial"/>
        </w:rPr>
        <w:t xml:space="preserve"> it is anticipated that this will be exceeded over the initial 10</w:t>
      </w:r>
      <w:r w:rsidRPr="31619BB5">
        <w:rPr>
          <w:rFonts w:cs="Arial"/>
        </w:rPr>
        <w:t>-</w:t>
      </w:r>
      <w:r w:rsidRPr="2958F166">
        <w:rPr>
          <w:rFonts w:cs="Arial"/>
        </w:rPr>
        <w:t>year period of the contract, although due to profiling of the income in the initial 4</w:t>
      </w:r>
      <w:r w:rsidRPr="31619BB5">
        <w:rPr>
          <w:rFonts w:cs="Arial"/>
        </w:rPr>
        <w:t>-</w:t>
      </w:r>
      <w:r w:rsidRPr="2958F166">
        <w:rPr>
          <w:rFonts w:cs="Arial"/>
        </w:rPr>
        <w:t>year MTFP period this is marginal, with early years providing far less than the £500k per annum assumed. This will require a commensurate use of reserves to fill deficits arising in early years of the MTFP which will be topped up in later years. Appendix 4</w:t>
      </w:r>
      <w:r w:rsidRPr="31619BB5">
        <w:rPr>
          <w:rFonts w:cs="Arial"/>
        </w:rPr>
        <w:t xml:space="preserve"> gives</w:t>
      </w:r>
      <w:r w:rsidRPr="2958F166">
        <w:rPr>
          <w:rFonts w:cs="Arial"/>
        </w:rPr>
        <w:t xml:space="preserve"> more detail on the breakdown of the management fee. </w:t>
      </w:r>
    </w:p>
    <w:p w14:paraId="7BAB79E7" w14:textId="7F15E4DB" w:rsidR="002D5621" w:rsidRDefault="002D5621" w:rsidP="00430B64">
      <w:pPr>
        <w:pStyle w:val="ListParagraph"/>
        <w:numPr>
          <w:ilvl w:val="0"/>
          <w:numId w:val="7"/>
        </w:numPr>
        <w:shd w:val="clear" w:color="auto" w:fill="FFFFFF" w:themeFill="background1"/>
        <w:tabs>
          <w:tab w:val="clear" w:pos="426"/>
        </w:tabs>
        <w:spacing w:line="259" w:lineRule="auto"/>
        <w:ind w:left="425" w:hanging="425"/>
        <w:jc w:val="both"/>
        <w:rPr>
          <w:rFonts w:cs="Arial"/>
          <w:color w:val="000000" w:themeColor="text1"/>
        </w:rPr>
      </w:pPr>
      <w:r w:rsidRPr="31619BB5">
        <w:rPr>
          <w:rFonts w:cs="Arial"/>
        </w:rPr>
        <w:t xml:space="preserve">The Capital Programme included within the MTFP allows for a capital grant payment of £2 million to be used on schemes that provide a financial return </w:t>
      </w:r>
      <w:r w:rsidRPr="355AD99B">
        <w:rPr>
          <w:rFonts w:cs="Arial"/>
        </w:rPr>
        <w:t>of a minimum of 5%.</w:t>
      </w:r>
      <w:r w:rsidRPr="31619BB5">
        <w:rPr>
          <w:rFonts w:cs="Arial"/>
        </w:rPr>
        <w:t xml:space="preserve">  Whilst such schemes will need to be approved by the </w:t>
      </w:r>
      <w:r w:rsidR="00752634">
        <w:rPr>
          <w:rFonts w:cs="Arial"/>
        </w:rPr>
        <w:t>C</w:t>
      </w:r>
      <w:r w:rsidRPr="31619BB5">
        <w:rPr>
          <w:rFonts w:cs="Arial"/>
        </w:rPr>
        <w:t xml:space="preserve">ouncil the income and expenditure has been included by bidders as part of the submissions and included in the average management fee accordingly. Should the projects not take place then the average management fee will be reduced accordingly. Further details are shown in Appendix 4. </w:t>
      </w:r>
    </w:p>
    <w:p w14:paraId="09FBAF34" w14:textId="77777777" w:rsidR="002D5B33" w:rsidRPr="003645CE" w:rsidRDefault="002D5B33" w:rsidP="00430B64">
      <w:pPr>
        <w:pStyle w:val="ListParagraph"/>
        <w:numPr>
          <w:ilvl w:val="0"/>
          <w:numId w:val="7"/>
        </w:numPr>
        <w:shd w:val="clear" w:color="auto" w:fill="FFFFFF" w:themeFill="background1"/>
        <w:tabs>
          <w:tab w:val="clear" w:pos="426"/>
        </w:tabs>
        <w:spacing w:line="259" w:lineRule="auto"/>
        <w:ind w:left="425" w:hanging="425"/>
        <w:jc w:val="both"/>
        <w:rPr>
          <w:rFonts w:cs="Arial"/>
        </w:rPr>
      </w:pPr>
      <w:r w:rsidRPr="31619BB5">
        <w:rPr>
          <w:rFonts w:cs="Arial"/>
        </w:rPr>
        <w:t xml:space="preserve">Bidders have been advised that </w:t>
      </w:r>
      <w:r w:rsidRPr="355AD99B">
        <w:rPr>
          <w:rFonts w:cs="Arial"/>
        </w:rPr>
        <w:t xml:space="preserve">any uncompleted </w:t>
      </w:r>
      <w:r w:rsidRPr="31619BB5">
        <w:rPr>
          <w:rFonts w:cs="Arial"/>
        </w:rPr>
        <w:t>dilapidation works identified by the Council that arise from the existing contract will be agreed and undertaken by the existing management contractor</w:t>
      </w:r>
      <w:r w:rsidRPr="355AD99B">
        <w:rPr>
          <w:rFonts w:cs="Arial"/>
        </w:rPr>
        <w:t xml:space="preserve"> but the cost will sit with the Council</w:t>
      </w:r>
      <w:r w:rsidRPr="31619BB5">
        <w:rPr>
          <w:rFonts w:cs="Arial"/>
        </w:rPr>
        <w:t>.</w:t>
      </w:r>
    </w:p>
    <w:p w14:paraId="07D6AFE8" w14:textId="2F91369F" w:rsidR="00791E27" w:rsidRPr="00791E27" w:rsidRDefault="00791E27" w:rsidP="00430B64">
      <w:pPr>
        <w:pStyle w:val="ListParagraph"/>
        <w:numPr>
          <w:ilvl w:val="0"/>
          <w:numId w:val="7"/>
        </w:numPr>
        <w:jc w:val="both"/>
      </w:pPr>
      <w:r w:rsidRPr="00791E27">
        <w:t>The MTFP Consultation Budget also provides for:</w:t>
      </w:r>
    </w:p>
    <w:p w14:paraId="5743C053" w14:textId="0A9F4C80" w:rsidR="00627FE3" w:rsidRDefault="00627FE3" w:rsidP="00430B64">
      <w:pPr>
        <w:pStyle w:val="ListParagraph"/>
        <w:numPr>
          <w:ilvl w:val="0"/>
          <w:numId w:val="12"/>
        </w:numPr>
        <w:shd w:val="clear" w:color="auto" w:fill="FFFFFF" w:themeFill="background1"/>
        <w:spacing w:after="0" w:line="276" w:lineRule="auto"/>
        <w:jc w:val="both"/>
        <w:rPr>
          <w:rFonts w:cs="Arial"/>
          <w:color w:val="000000" w:themeColor="text1"/>
        </w:rPr>
      </w:pPr>
      <w:r w:rsidRPr="31619BB5">
        <w:rPr>
          <w:rFonts w:cs="Arial"/>
          <w:color w:val="000000" w:themeColor="text1"/>
        </w:rPr>
        <w:t>One new post to assist with client monitoring and corporate property matters in addition to the current leisure well-being and client officer currently employed</w:t>
      </w:r>
      <w:r w:rsidR="00F71803">
        <w:rPr>
          <w:rFonts w:cs="Arial"/>
          <w:color w:val="000000" w:themeColor="text1"/>
        </w:rPr>
        <w:t>.</w:t>
      </w:r>
    </w:p>
    <w:p w14:paraId="5813A937" w14:textId="7CD15984" w:rsidR="00F71803" w:rsidRPr="00F71803" w:rsidRDefault="00F71803" w:rsidP="00430B64">
      <w:pPr>
        <w:pStyle w:val="ListParagraph"/>
        <w:numPr>
          <w:ilvl w:val="0"/>
          <w:numId w:val="12"/>
        </w:numPr>
        <w:shd w:val="clear" w:color="auto" w:fill="FFFFFF" w:themeFill="background1"/>
        <w:spacing w:line="276" w:lineRule="auto"/>
        <w:jc w:val="both"/>
        <w:rPr>
          <w:rFonts w:cs="Arial"/>
          <w:color w:val="000000" w:themeColor="text1"/>
        </w:rPr>
      </w:pPr>
      <w:r w:rsidRPr="2958F166">
        <w:rPr>
          <w:rFonts w:cs="Arial"/>
          <w:color w:val="000000" w:themeColor="text1"/>
        </w:rPr>
        <w:t>£600k of capital works to leisure centres over and above day to day and life cycle repairs to be provided by the bidders.</w:t>
      </w:r>
    </w:p>
    <w:p w14:paraId="58010D29" w14:textId="068D6435" w:rsidR="00D67273" w:rsidRDefault="006D5236" w:rsidP="00430B64">
      <w:pPr>
        <w:pStyle w:val="ListParagraph"/>
        <w:numPr>
          <w:ilvl w:val="0"/>
          <w:numId w:val="7"/>
        </w:numPr>
        <w:shd w:val="clear" w:color="auto" w:fill="FFFFFF" w:themeFill="background1"/>
        <w:tabs>
          <w:tab w:val="clear" w:pos="426"/>
        </w:tabs>
        <w:ind w:left="425" w:hanging="425"/>
        <w:jc w:val="both"/>
        <w:rPr>
          <w:rFonts w:cs="Arial"/>
          <w:color w:val="000000" w:themeColor="text1"/>
        </w:rPr>
      </w:pPr>
      <w:r>
        <w:rPr>
          <w:rFonts w:cs="Arial"/>
          <w:color w:val="000000" w:themeColor="text1"/>
        </w:rPr>
        <w:t>Other points worthy of note include:</w:t>
      </w:r>
    </w:p>
    <w:p w14:paraId="7A05B594" w14:textId="22A4678E" w:rsidR="00E36EDD" w:rsidRDefault="00E36EDD" w:rsidP="00430B64">
      <w:pPr>
        <w:pStyle w:val="ListParagraph"/>
        <w:numPr>
          <w:ilvl w:val="0"/>
          <w:numId w:val="13"/>
        </w:numPr>
        <w:shd w:val="clear" w:color="auto" w:fill="FFFFFF" w:themeFill="background1"/>
        <w:spacing w:after="0" w:line="276" w:lineRule="auto"/>
        <w:jc w:val="both"/>
        <w:rPr>
          <w:rFonts w:cs="Arial"/>
          <w:color w:val="000000" w:themeColor="text1"/>
        </w:rPr>
      </w:pPr>
      <w:r w:rsidRPr="31619BB5">
        <w:rPr>
          <w:rFonts w:cs="Arial"/>
        </w:rPr>
        <w:t xml:space="preserve">The </w:t>
      </w:r>
      <w:r w:rsidR="005A0C1A">
        <w:rPr>
          <w:rFonts w:cs="Arial"/>
        </w:rPr>
        <w:t>C</w:t>
      </w:r>
      <w:r w:rsidRPr="31619BB5">
        <w:rPr>
          <w:rFonts w:cs="Arial"/>
        </w:rPr>
        <w:t>ouncil will directly pay the utilities through its new energy cont</w:t>
      </w:r>
      <w:r w:rsidRPr="2958F166">
        <w:rPr>
          <w:rFonts w:cs="Arial"/>
        </w:rPr>
        <w:t>r</w:t>
      </w:r>
      <w:r w:rsidRPr="31619BB5">
        <w:rPr>
          <w:rFonts w:cs="Arial"/>
        </w:rPr>
        <w:t xml:space="preserve">act for the next 12-month period.  Serco Leisure may be able to procure utilities at a lower cost, which we would explore adopting in the future which could provide further efficiencies. </w:t>
      </w:r>
    </w:p>
    <w:p w14:paraId="00891324" w14:textId="77777777" w:rsidR="00057D74" w:rsidRPr="004C115A" w:rsidRDefault="00057D74" w:rsidP="00430B64">
      <w:pPr>
        <w:pStyle w:val="ListParagraph"/>
        <w:numPr>
          <w:ilvl w:val="0"/>
          <w:numId w:val="13"/>
        </w:numPr>
        <w:spacing w:after="0" w:line="259" w:lineRule="auto"/>
        <w:jc w:val="both"/>
        <w:rPr>
          <w:rFonts w:cs="Arial"/>
          <w:color w:val="000000" w:themeColor="text1"/>
        </w:rPr>
      </w:pPr>
      <w:r w:rsidRPr="2958F166">
        <w:rPr>
          <w:rFonts w:cs="Arial"/>
        </w:rPr>
        <w:t>The operator shall be responsible for increases in utility costs as a result of increases in consumption over and above the base consumption levels and will benefit from decreases in utility costs as a result of decreases in consumption below the base</w:t>
      </w:r>
    </w:p>
    <w:p w14:paraId="27F3EAE2" w14:textId="77777777" w:rsidR="00E9765B" w:rsidRDefault="00E9765B" w:rsidP="00430B64">
      <w:pPr>
        <w:pStyle w:val="ListParagraph"/>
        <w:numPr>
          <w:ilvl w:val="0"/>
          <w:numId w:val="13"/>
        </w:numPr>
        <w:spacing w:after="0" w:line="259" w:lineRule="auto"/>
        <w:jc w:val="both"/>
        <w:rPr>
          <w:rFonts w:cs="Arial"/>
          <w:color w:val="000000" w:themeColor="text1"/>
        </w:rPr>
      </w:pPr>
      <w:r w:rsidRPr="31619BB5">
        <w:rPr>
          <w:rFonts w:cs="Arial"/>
        </w:rPr>
        <w:t>Serco Leisure are responsible for price increases up to RPI, with the Council being responsible for price increases beyond RPI.</w:t>
      </w:r>
    </w:p>
    <w:p w14:paraId="72339936" w14:textId="77777777" w:rsidR="00557C1D" w:rsidRDefault="00557C1D" w:rsidP="00430B64">
      <w:pPr>
        <w:pStyle w:val="ListParagraph"/>
        <w:numPr>
          <w:ilvl w:val="0"/>
          <w:numId w:val="13"/>
        </w:numPr>
        <w:shd w:val="clear" w:color="auto" w:fill="FFFFFF" w:themeFill="background1"/>
        <w:spacing w:after="0" w:line="276" w:lineRule="auto"/>
        <w:jc w:val="both"/>
        <w:rPr>
          <w:rFonts w:cs="Arial"/>
        </w:rPr>
      </w:pPr>
      <w:r w:rsidRPr="31619BB5">
        <w:rPr>
          <w:rFonts w:cs="Arial"/>
        </w:rPr>
        <w:t xml:space="preserve">Fees and charges (Appendix 5) have only recently been made. It also assumed these fees and charges will be agreed by the Council. </w:t>
      </w:r>
    </w:p>
    <w:p w14:paraId="25C0F0A4" w14:textId="34BA323A" w:rsidR="006D5236" w:rsidRPr="000B10B8" w:rsidRDefault="000B10B8" w:rsidP="00430B64">
      <w:pPr>
        <w:pStyle w:val="ListParagraph"/>
        <w:numPr>
          <w:ilvl w:val="0"/>
          <w:numId w:val="13"/>
        </w:numPr>
        <w:shd w:val="clear" w:color="auto" w:fill="FFFFFF" w:themeFill="background1"/>
        <w:spacing w:after="0" w:line="276" w:lineRule="auto"/>
        <w:jc w:val="both"/>
        <w:rPr>
          <w:rFonts w:cs="Arial"/>
          <w:color w:val="000000" w:themeColor="text1"/>
        </w:rPr>
      </w:pPr>
      <w:r w:rsidRPr="355AD99B">
        <w:rPr>
          <w:rFonts w:cs="Arial"/>
          <w:color w:val="000000" w:themeColor="text1"/>
        </w:rPr>
        <w:lastRenderedPageBreak/>
        <w:t xml:space="preserve">The </w:t>
      </w:r>
      <w:r w:rsidRPr="31619BB5">
        <w:rPr>
          <w:rFonts w:cs="Arial"/>
          <w:color w:val="000000" w:themeColor="text1"/>
        </w:rPr>
        <w:t xml:space="preserve">centres will have </w:t>
      </w:r>
      <w:r w:rsidRPr="355AD99B">
        <w:rPr>
          <w:rFonts w:cs="Arial"/>
          <w:color w:val="000000" w:themeColor="text1"/>
        </w:rPr>
        <w:t xml:space="preserve">effectively </w:t>
      </w:r>
      <w:r w:rsidRPr="31619BB5">
        <w:rPr>
          <w:rFonts w:cs="Arial"/>
          <w:color w:val="000000" w:themeColor="text1"/>
        </w:rPr>
        <w:t xml:space="preserve">full </w:t>
      </w:r>
      <w:r w:rsidRPr="355AD99B">
        <w:rPr>
          <w:rFonts w:cs="Arial"/>
          <w:color w:val="000000" w:themeColor="text1"/>
        </w:rPr>
        <w:t>repairing</w:t>
      </w:r>
      <w:r w:rsidRPr="31619BB5">
        <w:rPr>
          <w:rFonts w:cs="Arial"/>
          <w:color w:val="000000" w:themeColor="text1"/>
        </w:rPr>
        <w:t xml:space="preserve"> leases</w:t>
      </w:r>
      <w:r w:rsidRPr="355AD99B">
        <w:rPr>
          <w:rFonts w:cs="Arial"/>
          <w:color w:val="000000" w:themeColor="text1"/>
        </w:rPr>
        <w:t>. However</w:t>
      </w:r>
      <w:r w:rsidRPr="31619BB5">
        <w:rPr>
          <w:rFonts w:cs="Arial"/>
          <w:color w:val="000000" w:themeColor="text1"/>
        </w:rPr>
        <w:t xml:space="preserve">, The Ice Rink and Ferry Leisure Centre </w:t>
      </w:r>
      <w:r w:rsidRPr="355AD99B">
        <w:rPr>
          <w:rFonts w:cs="Arial"/>
          <w:color w:val="000000" w:themeColor="text1"/>
        </w:rPr>
        <w:t xml:space="preserve">will </w:t>
      </w:r>
      <w:r w:rsidRPr="31619BB5">
        <w:rPr>
          <w:rFonts w:cs="Arial"/>
          <w:color w:val="000000" w:themeColor="text1"/>
        </w:rPr>
        <w:t xml:space="preserve">also have </w:t>
      </w:r>
      <w:r w:rsidRPr="355AD99B">
        <w:rPr>
          <w:rFonts w:cs="Arial"/>
          <w:color w:val="000000" w:themeColor="text1"/>
        </w:rPr>
        <w:t>schedules</w:t>
      </w:r>
      <w:r w:rsidRPr="31619BB5">
        <w:rPr>
          <w:rFonts w:cs="Arial"/>
          <w:color w:val="000000" w:themeColor="text1"/>
        </w:rPr>
        <w:t xml:space="preserve"> of </w:t>
      </w:r>
      <w:r w:rsidRPr="355AD99B">
        <w:rPr>
          <w:rFonts w:cs="Arial"/>
          <w:color w:val="000000" w:themeColor="text1"/>
        </w:rPr>
        <w:t>condition</w:t>
      </w:r>
      <w:r w:rsidRPr="31619BB5">
        <w:rPr>
          <w:rFonts w:cs="Arial"/>
          <w:color w:val="000000" w:themeColor="text1"/>
        </w:rPr>
        <w:t xml:space="preserve">, with the </w:t>
      </w:r>
      <w:r w:rsidR="00752634">
        <w:rPr>
          <w:rFonts w:cs="Arial"/>
          <w:color w:val="000000" w:themeColor="text1"/>
        </w:rPr>
        <w:t>C</w:t>
      </w:r>
      <w:r w:rsidRPr="31619BB5">
        <w:rPr>
          <w:rFonts w:cs="Arial"/>
          <w:color w:val="000000" w:themeColor="text1"/>
        </w:rPr>
        <w:t xml:space="preserve">ouncil funding costs over £100,000. The </w:t>
      </w:r>
      <w:r w:rsidR="00752634">
        <w:rPr>
          <w:rFonts w:cs="Arial"/>
          <w:color w:val="000000" w:themeColor="text1"/>
        </w:rPr>
        <w:t>C</w:t>
      </w:r>
      <w:r w:rsidRPr="31619BB5">
        <w:rPr>
          <w:rFonts w:cs="Arial"/>
          <w:color w:val="000000" w:themeColor="text1"/>
        </w:rPr>
        <w:t xml:space="preserve">ouncil has included a separate budget </w:t>
      </w:r>
      <w:r w:rsidRPr="355AD99B">
        <w:rPr>
          <w:rFonts w:cs="Arial"/>
          <w:color w:val="000000" w:themeColor="text1"/>
        </w:rPr>
        <w:t>to</w:t>
      </w:r>
      <w:r w:rsidRPr="31619BB5">
        <w:rPr>
          <w:rFonts w:cs="Arial"/>
          <w:color w:val="000000" w:themeColor="text1"/>
        </w:rPr>
        <w:t xml:space="preserve"> Serco Leisure to cover its cost obligations.</w:t>
      </w:r>
    </w:p>
    <w:p w14:paraId="1A156357" w14:textId="77777777" w:rsidR="0040736F" w:rsidRPr="001356F1" w:rsidRDefault="00DA614B" w:rsidP="004A6D2F">
      <w:pPr>
        <w:pStyle w:val="Heading1"/>
      </w:pPr>
      <w:r w:rsidRPr="001356F1">
        <w:t>Legal issues</w:t>
      </w:r>
    </w:p>
    <w:p w14:paraId="4DCECBD4" w14:textId="77777777" w:rsidR="006B63A7" w:rsidRPr="004D2611" w:rsidRDefault="006B63A7" w:rsidP="00430B64">
      <w:pPr>
        <w:pStyle w:val="ListParagraph"/>
        <w:numPr>
          <w:ilvl w:val="0"/>
          <w:numId w:val="7"/>
        </w:numPr>
        <w:shd w:val="clear" w:color="auto" w:fill="FFFFFF" w:themeFill="background1"/>
        <w:tabs>
          <w:tab w:val="clear" w:pos="426"/>
        </w:tabs>
        <w:spacing w:line="259" w:lineRule="auto"/>
        <w:ind w:left="425" w:hanging="425"/>
        <w:jc w:val="both"/>
        <w:rPr>
          <w:rFonts w:cs="Arial"/>
          <w:color w:val="000000" w:themeColor="text1"/>
        </w:rPr>
      </w:pPr>
      <w:r w:rsidRPr="31619BB5">
        <w:rPr>
          <w:rFonts w:cs="Arial"/>
        </w:rPr>
        <w:t>The Council is bound by the laws on public procurements when undertaking procurements of services. These define the procedures to be used and the basis on which contracts may be awarded. They are designed to promote effective competition and ultimately to ensure that contracting authorities obtain value for money in their procurements. Deviation from the procedures and requirements would put the Council at the risk of a challenge.</w:t>
      </w:r>
    </w:p>
    <w:p w14:paraId="64B8C78E" w14:textId="77777777" w:rsidR="004D2611" w:rsidRDefault="004D2611" w:rsidP="00430B64">
      <w:pPr>
        <w:pStyle w:val="ListParagraph"/>
        <w:numPr>
          <w:ilvl w:val="0"/>
          <w:numId w:val="7"/>
        </w:numPr>
        <w:shd w:val="clear" w:color="auto" w:fill="FFFFFF" w:themeFill="background1"/>
        <w:tabs>
          <w:tab w:val="clear" w:pos="426"/>
        </w:tabs>
        <w:spacing w:line="259" w:lineRule="auto"/>
        <w:ind w:left="425" w:hanging="425"/>
        <w:jc w:val="both"/>
        <w:rPr>
          <w:rFonts w:cs="Arial"/>
          <w:color w:val="000000" w:themeColor="text1"/>
        </w:rPr>
      </w:pPr>
      <w:r w:rsidRPr="2958F166">
        <w:rPr>
          <w:rFonts w:cs="Arial"/>
        </w:rPr>
        <w:t>A challenge from a disappointed bidder would have implications for the continuity of the leisure services and for the Council’s financial position. The Council’s ability to enter into a contract may be suspended pending determination of a challenge, and a successful challenge can result in the Council being prevented from entering into the contract, or, where the contract is already effective, being shortened or declared ineffective; in the alternative a challenger may be awarded damages to compensate them for the income they would have earned had their bid been successful. Further, a contractor whose contract is declared ineffective or is shortened may be entitled to recover damages for their loss of profit. It is not unusual for the costs of defending procurement challenges in complex procurements to rise to above £250k.</w:t>
      </w:r>
    </w:p>
    <w:p w14:paraId="7FE056A7" w14:textId="77777777" w:rsidR="007A09AD" w:rsidRDefault="007A09AD" w:rsidP="00430B64">
      <w:pPr>
        <w:pStyle w:val="ListParagraph"/>
        <w:numPr>
          <w:ilvl w:val="0"/>
          <w:numId w:val="7"/>
        </w:numPr>
        <w:shd w:val="clear" w:color="auto" w:fill="FFFFFF" w:themeFill="background1"/>
        <w:tabs>
          <w:tab w:val="clear" w:pos="426"/>
        </w:tabs>
        <w:spacing w:line="259" w:lineRule="auto"/>
        <w:ind w:left="425" w:hanging="425"/>
        <w:jc w:val="both"/>
        <w:rPr>
          <w:rFonts w:cs="Arial"/>
          <w:color w:val="000000" w:themeColor="text1"/>
        </w:rPr>
      </w:pPr>
      <w:r w:rsidRPr="2958F166">
        <w:rPr>
          <w:rFonts w:cs="Arial"/>
        </w:rPr>
        <w:t xml:space="preserve">The procurement of this contract followed a procedure designed to identify all the relevant issues for the Council’s future leisure services provision and the bidders’ ability to provide the services within the scope of the specification set by the Council. All bidders successfully qualified to bid by demonstrating their experience, competence, and track record of delivering good levels of service and consumer satisfaction. The qualifying bidders then competed to offer best value for money against the Council’s specified criteria. The procedure used was complex, reflecting the nature of the services and the basis on which the leisure market operates, and evolved as </w:t>
      </w:r>
      <w:r w:rsidRPr="31619BB5">
        <w:rPr>
          <w:rFonts w:cs="Arial"/>
        </w:rPr>
        <w:t>it progressed.</w:t>
      </w:r>
      <w:r w:rsidRPr="2958F166">
        <w:rPr>
          <w:rFonts w:cs="Arial"/>
        </w:rPr>
        <w:t xml:space="preserve"> Wherever complex procurements are undertaken there is a risk of challenge. Legal advice has been provided throughout the procurement by the Council’s internal legal advisers supported by external advisers specialising in the procurement of public sector leisure contracts and this advice has been taken into account in the ongoing conduct of the procurement. Advisers believe that the risks have been effectively managed.</w:t>
      </w:r>
    </w:p>
    <w:p w14:paraId="4E899B1B" w14:textId="77777777" w:rsidR="00D73C92" w:rsidRDefault="00D73C92" w:rsidP="00430B64">
      <w:pPr>
        <w:pStyle w:val="ListParagraph"/>
        <w:numPr>
          <w:ilvl w:val="0"/>
          <w:numId w:val="7"/>
        </w:numPr>
        <w:shd w:val="clear" w:color="auto" w:fill="FFFFFF" w:themeFill="background1"/>
        <w:tabs>
          <w:tab w:val="clear" w:pos="426"/>
        </w:tabs>
        <w:spacing w:line="259" w:lineRule="auto"/>
        <w:ind w:left="425" w:hanging="425"/>
        <w:jc w:val="both"/>
        <w:rPr>
          <w:rFonts w:cs="Arial"/>
          <w:color w:val="000000" w:themeColor="text1"/>
        </w:rPr>
      </w:pPr>
      <w:r w:rsidRPr="2958F166">
        <w:rPr>
          <w:rFonts w:cs="Arial"/>
        </w:rPr>
        <w:t>Officers are confident that the procedure followed was robust and that the winning bid best meets the qualitative and financial requirements set by the Council. As such, the Council may not award the leisure contract to any other bidder without putting itself at an unacceptable risk of challenge.</w:t>
      </w:r>
    </w:p>
    <w:p w14:paraId="72953676" w14:textId="77777777" w:rsidR="00596689" w:rsidDel="004305F3" w:rsidRDefault="00596689" w:rsidP="00430B64">
      <w:pPr>
        <w:pStyle w:val="ListParagraph"/>
        <w:numPr>
          <w:ilvl w:val="0"/>
          <w:numId w:val="7"/>
        </w:numPr>
        <w:shd w:val="clear" w:color="auto" w:fill="FFFFFF" w:themeFill="background1"/>
        <w:tabs>
          <w:tab w:val="clear" w:pos="426"/>
        </w:tabs>
        <w:spacing w:line="259" w:lineRule="auto"/>
        <w:ind w:left="425" w:hanging="425"/>
        <w:jc w:val="both"/>
        <w:rPr>
          <w:rFonts w:cs="Arial"/>
        </w:rPr>
      </w:pPr>
      <w:r w:rsidRPr="733ADA76">
        <w:rPr>
          <w:rFonts w:cs="Arial"/>
        </w:rPr>
        <w:t>T</w:t>
      </w:r>
      <w:r w:rsidRPr="5A9698A6">
        <w:rPr>
          <w:rFonts w:cs="Arial"/>
        </w:rPr>
        <w:t xml:space="preserve">he alternatives to awarding the contract as set out in the recommendations are to </w:t>
      </w:r>
      <w:r w:rsidRPr="2958F166">
        <w:rPr>
          <w:rFonts w:cs="Arial"/>
        </w:rPr>
        <w:t>abandon the procurement and either 1)</w:t>
      </w:r>
      <w:r w:rsidRPr="5A9698A6">
        <w:rPr>
          <w:rFonts w:cs="Arial"/>
        </w:rPr>
        <w:t xml:space="preserve"> prov</w:t>
      </w:r>
      <w:r w:rsidRPr="57ED982C">
        <w:rPr>
          <w:rFonts w:cs="Arial"/>
          <w:color w:val="auto"/>
        </w:rPr>
        <w:t>id</w:t>
      </w:r>
      <w:r w:rsidRPr="00EF7D46">
        <w:t>e</w:t>
      </w:r>
      <w:r w:rsidRPr="57ED982C">
        <w:rPr>
          <w:rFonts w:cs="Arial"/>
          <w:color w:val="auto"/>
        </w:rPr>
        <w:t xml:space="preserve"> the leisure services in-house on an interim basis while a new procurement is undertaken, or 2)</w:t>
      </w:r>
      <w:r w:rsidRPr="2958F166">
        <w:rPr>
          <w:rFonts w:cs="Arial"/>
        </w:rPr>
        <w:t xml:space="preserve"> </w:t>
      </w:r>
      <w:r w:rsidRPr="31619BB5">
        <w:rPr>
          <w:rFonts w:cs="Arial"/>
        </w:rPr>
        <w:t>provide</w:t>
      </w:r>
      <w:r w:rsidRPr="2958F166">
        <w:rPr>
          <w:rFonts w:cs="Arial"/>
        </w:rPr>
        <w:t xml:space="preserve"> the services permanently on an in-house basis</w:t>
      </w:r>
      <w:r w:rsidRPr="31619BB5">
        <w:rPr>
          <w:rFonts w:cs="Arial"/>
        </w:rPr>
        <w:t>. The operational and financial implications of operating</w:t>
      </w:r>
      <w:r w:rsidRPr="2958F166">
        <w:rPr>
          <w:rFonts w:cs="Arial"/>
        </w:rPr>
        <w:t xml:space="preserve"> the service in-house are discussed above (paragraphs 16 to 23).   </w:t>
      </w:r>
    </w:p>
    <w:p w14:paraId="48083CD1" w14:textId="77777777" w:rsidR="00E07C63" w:rsidRDefault="00E07C63" w:rsidP="00430B64">
      <w:pPr>
        <w:pStyle w:val="ListParagraph"/>
        <w:numPr>
          <w:ilvl w:val="0"/>
          <w:numId w:val="7"/>
        </w:numPr>
        <w:shd w:val="clear" w:color="auto" w:fill="FFFFFF" w:themeFill="background1"/>
        <w:tabs>
          <w:tab w:val="clear" w:pos="426"/>
        </w:tabs>
        <w:spacing w:line="259" w:lineRule="auto"/>
        <w:ind w:left="425" w:hanging="425"/>
        <w:jc w:val="both"/>
        <w:rPr>
          <w:rFonts w:cs="Arial"/>
          <w:color w:val="000000" w:themeColor="text1"/>
        </w:rPr>
      </w:pPr>
      <w:r w:rsidRPr="2958F166">
        <w:rPr>
          <w:rFonts w:cs="Arial"/>
        </w:rPr>
        <w:lastRenderedPageBreak/>
        <w:t>While the Council does have the discretion to abandon the procurement there are legal and contractual risks in doing so as well as significant operational and financial implications. The Council would have to conduct any abandonment in accordance with the principles of procurement law. A failure to do so would bring a risk of challenge with cost implications both in terms of the legal costs of defending such a challenge and the potential damages payable for a breach of the procurement rules. Further, although the Council’s tender documents specify that costs incurred by bidders may not be recovered in the event of an abandonment, it is possible that disappointed bidders may seek to recover their costs of engaging in the procurement. Defending any such challenge would require substantial officer time as well as financial commitment.</w:t>
      </w:r>
    </w:p>
    <w:p w14:paraId="34F1855E" w14:textId="77777777" w:rsidR="003A412D" w:rsidRDefault="003A412D" w:rsidP="00430B64">
      <w:pPr>
        <w:pStyle w:val="ListParagraph"/>
        <w:numPr>
          <w:ilvl w:val="0"/>
          <w:numId w:val="7"/>
        </w:numPr>
        <w:shd w:val="clear" w:color="auto" w:fill="FFFFFF" w:themeFill="background1"/>
        <w:tabs>
          <w:tab w:val="clear" w:pos="426"/>
        </w:tabs>
        <w:spacing w:line="259" w:lineRule="auto"/>
        <w:ind w:left="425" w:hanging="425"/>
        <w:jc w:val="both"/>
        <w:rPr>
          <w:rFonts w:cs="Arial"/>
          <w:color w:val="000000" w:themeColor="text1"/>
        </w:rPr>
      </w:pPr>
      <w:r w:rsidRPr="2958F166">
        <w:rPr>
          <w:rFonts w:cs="Arial"/>
        </w:rPr>
        <w:t>A new contractor would not be in place and operational for at least 15 months following the re-commencement of procurement.</w:t>
      </w:r>
    </w:p>
    <w:p w14:paraId="2AEC0AF2" w14:textId="77777777" w:rsidR="0026044A" w:rsidRDefault="0026044A" w:rsidP="00430B64">
      <w:pPr>
        <w:pStyle w:val="ListParagraph"/>
        <w:numPr>
          <w:ilvl w:val="0"/>
          <w:numId w:val="7"/>
        </w:numPr>
        <w:shd w:val="clear" w:color="auto" w:fill="FFFFFF" w:themeFill="background1"/>
        <w:tabs>
          <w:tab w:val="clear" w:pos="426"/>
        </w:tabs>
        <w:spacing w:line="259" w:lineRule="auto"/>
        <w:ind w:left="425" w:hanging="425"/>
        <w:jc w:val="both"/>
        <w:rPr>
          <w:rFonts w:cs="Arial"/>
          <w:color w:val="000000" w:themeColor="text1"/>
        </w:rPr>
      </w:pPr>
      <w:r w:rsidRPr="2958F166">
        <w:rPr>
          <w:rFonts w:cs="Arial"/>
        </w:rPr>
        <w:t>Operating the leisure service in-house on a temporary basis would bring substantial additional long-term costs as a result of the rules on the transfer of employment contracts to a new service provider (the “TUPE” rules). Fusion employees would transfer to the Council and would become entitled to join the Local Government Pension Scheme. Upon completion of a new procurement the employees would transfer to the new contractor with their entitlement to membership of the LGPS (or an equally beneficial scheme) intact. Any prospective bidder would therefore build these additional costs into their financial model to the Council’s cost. In the event the Council adopted an in-house model these costs would be borne directly by the Council.</w:t>
      </w:r>
    </w:p>
    <w:p w14:paraId="18EBF7B4" w14:textId="77777777" w:rsidR="009D4C14" w:rsidRDefault="009D4C14" w:rsidP="00430B64">
      <w:pPr>
        <w:pStyle w:val="ListParagraph"/>
        <w:numPr>
          <w:ilvl w:val="0"/>
          <w:numId w:val="7"/>
        </w:numPr>
        <w:shd w:val="clear" w:color="auto" w:fill="FFFFFF" w:themeFill="background1"/>
        <w:tabs>
          <w:tab w:val="clear" w:pos="426"/>
        </w:tabs>
        <w:spacing w:line="259" w:lineRule="auto"/>
        <w:ind w:left="425" w:hanging="425"/>
        <w:jc w:val="both"/>
        <w:rPr>
          <w:rFonts w:cs="Arial"/>
          <w:color w:val="000000" w:themeColor="text1"/>
        </w:rPr>
      </w:pPr>
      <w:r w:rsidRPr="2958F166">
        <w:rPr>
          <w:rFonts w:cs="Arial"/>
        </w:rPr>
        <w:t xml:space="preserve">Should the recommendations in this report be approved the Council will need to inform the remaining bidders of the outcome of the process and observe a “standstill period” of 10 days during which it may not enter into the contract. Any claim issued by a disappointed bidder for breach of the procurement rules during this period will trigger an automatic suspension preventing the Council entering the contract until it has made a successful application to the court to do so. </w:t>
      </w:r>
      <w:r w:rsidRPr="31619BB5">
        <w:rPr>
          <w:rFonts w:cs="Arial"/>
        </w:rPr>
        <w:t>Such an application could be heard within weeks</w:t>
      </w:r>
      <w:r w:rsidRPr="57ED982C">
        <w:rPr>
          <w:rFonts w:cs="Arial"/>
        </w:rPr>
        <w:t>,</w:t>
      </w:r>
      <w:r w:rsidRPr="31619BB5">
        <w:rPr>
          <w:rFonts w:cs="Arial"/>
        </w:rPr>
        <w:t xml:space="preserve"> but the outcome is uncertain – the court will balance the Council’s interests in a continuing service (which may be satisfied in this case by extending the Fusion contract for the duration of proceedings) against the disappointed bidder’s loss of opportunity to win the contract.</w:t>
      </w:r>
    </w:p>
    <w:p w14:paraId="04721621" w14:textId="77777777" w:rsidR="002A4437" w:rsidRDefault="002A4437" w:rsidP="00430B64">
      <w:pPr>
        <w:pStyle w:val="ListParagraph"/>
        <w:numPr>
          <w:ilvl w:val="0"/>
          <w:numId w:val="7"/>
        </w:numPr>
        <w:shd w:val="clear" w:color="auto" w:fill="FFFFFF" w:themeFill="background1"/>
        <w:tabs>
          <w:tab w:val="clear" w:pos="426"/>
        </w:tabs>
        <w:spacing w:line="259" w:lineRule="auto"/>
        <w:ind w:left="425" w:hanging="425"/>
        <w:jc w:val="both"/>
        <w:rPr>
          <w:rFonts w:cs="Arial"/>
          <w:color w:val="000000" w:themeColor="text1"/>
        </w:rPr>
      </w:pPr>
      <w:r w:rsidRPr="31619BB5">
        <w:rPr>
          <w:rFonts w:cs="Arial"/>
        </w:rPr>
        <w:t>Disappointed bidders will often seek to extend the standstill period while they obtain sufficient information from the Council to inform their claim. This is generally accepted practice in procurement challenges and accords with guidance issued by the specialist court dealing with public sector procurement challenges. Officers should be ready to engage fully and constructively with disappointed bidders considering a challenge in order to address any concerns as early as possible and minimise the potential for delay. The Council’s procurement team keeps full records of decisions made during the procedure and the reasons for them to promote speedy resolution of concerns.</w:t>
      </w:r>
    </w:p>
    <w:p w14:paraId="6F8BC99E" w14:textId="77777777" w:rsidR="00F642D1" w:rsidRDefault="00F642D1" w:rsidP="00430B64">
      <w:pPr>
        <w:pStyle w:val="ListParagraph"/>
        <w:numPr>
          <w:ilvl w:val="0"/>
          <w:numId w:val="7"/>
        </w:numPr>
        <w:shd w:val="clear" w:color="auto" w:fill="FFFFFF" w:themeFill="background1"/>
        <w:tabs>
          <w:tab w:val="clear" w:pos="426"/>
        </w:tabs>
        <w:spacing w:line="259" w:lineRule="auto"/>
        <w:ind w:left="425" w:hanging="425"/>
        <w:jc w:val="both"/>
        <w:rPr>
          <w:rFonts w:cs="Arial"/>
          <w:color w:val="000000" w:themeColor="text1"/>
        </w:rPr>
      </w:pPr>
      <w:r>
        <w:rPr>
          <w:rFonts w:cs="Arial"/>
        </w:rPr>
        <w:t xml:space="preserve">Once the standstill period and any agreed extension has expired the Council may </w:t>
      </w:r>
      <w:r w:rsidRPr="2958F166">
        <w:rPr>
          <w:rFonts w:cs="Arial"/>
        </w:rPr>
        <w:t>enter the contract. However, further work will be required</w:t>
      </w:r>
      <w:r>
        <w:rPr>
          <w:rFonts w:cs="Arial"/>
        </w:rPr>
        <w:t xml:space="preserve"> to finalise contract terms (as set out in paragraphs 45 to 47 above) including the granting of leases, and to </w:t>
      </w:r>
      <w:r>
        <w:rPr>
          <w:rFonts w:cs="Arial"/>
        </w:rPr>
        <w:lastRenderedPageBreak/>
        <w:t>manage the transfer of information from Fusion to the new provider</w:t>
      </w:r>
      <w:r w:rsidRPr="2958F166">
        <w:rPr>
          <w:rFonts w:cs="Arial"/>
        </w:rPr>
        <w:t>. Such transfers are governed by the rules on data protection and a review will be required</w:t>
      </w:r>
      <w:r>
        <w:rPr>
          <w:rFonts w:cs="Arial"/>
        </w:rPr>
        <w:t xml:space="preserve"> to ensure that they are made in a compliant manner.</w:t>
      </w:r>
    </w:p>
    <w:p w14:paraId="231290A3" w14:textId="77777777" w:rsidR="00F901B5" w:rsidRDefault="00F901B5" w:rsidP="00430B64">
      <w:pPr>
        <w:pStyle w:val="ListParagraph"/>
        <w:numPr>
          <w:ilvl w:val="0"/>
          <w:numId w:val="7"/>
        </w:numPr>
        <w:shd w:val="clear" w:color="auto" w:fill="FFFFFF" w:themeFill="background1"/>
        <w:tabs>
          <w:tab w:val="clear" w:pos="426"/>
        </w:tabs>
        <w:spacing w:line="259" w:lineRule="auto"/>
        <w:ind w:left="425" w:hanging="425"/>
        <w:jc w:val="both"/>
        <w:rPr>
          <w:rFonts w:cs="Arial"/>
          <w:color w:val="000000" w:themeColor="text1"/>
        </w:rPr>
      </w:pPr>
      <w:r w:rsidRPr="2958F166">
        <w:rPr>
          <w:rFonts w:cs="Arial"/>
        </w:rPr>
        <w:t>Given the limited time available for mobilisation of the new contractor it is likely that certain obligations in the contract will need to be varied on a temporary basis. Any such measures will amount to modifications to the contract governed by the procurement rules</w:t>
      </w:r>
      <w:r w:rsidRPr="31619BB5">
        <w:rPr>
          <w:rFonts w:cs="Arial"/>
        </w:rPr>
        <w:t xml:space="preserve"> and so must be strictly limited in terms of scope, duration</w:t>
      </w:r>
      <w:r w:rsidRPr="57ED982C">
        <w:rPr>
          <w:rFonts w:cs="Arial"/>
        </w:rPr>
        <w:t>,</w:t>
      </w:r>
      <w:r w:rsidRPr="31619BB5">
        <w:rPr>
          <w:rFonts w:cs="Arial"/>
        </w:rPr>
        <w:t xml:space="preserve"> and financial implications.</w:t>
      </w:r>
      <w:r w:rsidRPr="2958F166">
        <w:rPr>
          <w:rFonts w:cs="Arial"/>
        </w:rPr>
        <w:t xml:space="preserve"> It is for this reason that recommendation ii) above limits both the period of the variation and its extent.</w:t>
      </w:r>
    </w:p>
    <w:p w14:paraId="776B26B4" w14:textId="7BCC271D" w:rsidR="004D2611" w:rsidRPr="00B66AA2" w:rsidRDefault="001145CA" w:rsidP="00430B64">
      <w:pPr>
        <w:pStyle w:val="ListParagraph"/>
        <w:numPr>
          <w:ilvl w:val="0"/>
          <w:numId w:val="7"/>
        </w:numPr>
        <w:shd w:val="clear" w:color="auto" w:fill="FFFFFF" w:themeFill="background1"/>
        <w:tabs>
          <w:tab w:val="clear" w:pos="426"/>
        </w:tabs>
        <w:spacing w:after="0" w:line="259" w:lineRule="auto"/>
        <w:ind w:left="425" w:hanging="425"/>
        <w:jc w:val="both"/>
        <w:rPr>
          <w:rFonts w:cs="Arial"/>
          <w:color w:val="000000" w:themeColor="text1"/>
        </w:rPr>
      </w:pPr>
      <w:r w:rsidRPr="2958F166">
        <w:rPr>
          <w:rFonts w:cs="Arial"/>
        </w:rPr>
        <w:t xml:space="preserve">The </w:t>
      </w:r>
      <w:r w:rsidR="00EF7D46">
        <w:rPr>
          <w:rFonts w:cs="Arial"/>
        </w:rPr>
        <w:t>C</w:t>
      </w:r>
      <w:r w:rsidRPr="2958F166">
        <w:rPr>
          <w:rFonts w:cs="Arial"/>
        </w:rPr>
        <w:t xml:space="preserve">ouncil has obtained legal advice on alternative interim arrangements. The options are 1) an extension of the contract with Fusion to allow a longer mobilisation period, and 2) entering into a separate interim contract with the winning bidder. Both carry procurement risks which are less manageable than the option of varying the terms of the new contract temporarily. The option of an extension to the Fusion contract would be </w:t>
      </w:r>
      <w:r w:rsidRPr="57ED982C">
        <w:rPr>
          <w:rFonts w:cs="Arial"/>
        </w:rPr>
        <w:t>particularly</w:t>
      </w:r>
      <w:r w:rsidRPr="2958F166">
        <w:rPr>
          <w:rFonts w:cs="Arial"/>
        </w:rPr>
        <w:t xml:space="preserve"> challenging because of the financial position and unresolved contractual issues between the parties. The option of an interim services contract creates additional contractual complexity in the transfer of the contractor’s liabilities between the interim and longer-term contract which can be avoided by entering into the new service contract with a temporary variation.</w:t>
      </w:r>
    </w:p>
    <w:p w14:paraId="1A156359" w14:textId="77777777" w:rsidR="002329CF" w:rsidRPr="001356F1" w:rsidRDefault="002329CF" w:rsidP="004A6D2F">
      <w:pPr>
        <w:pStyle w:val="Heading1"/>
      </w:pPr>
      <w:r w:rsidRPr="001356F1">
        <w:t>Level of risk</w:t>
      </w:r>
    </w:p>
    <w:p w14:paraId="78419E73" w14:textId="0A5F0708" w:rsidR="00D3792A" w:rsidRPr="00D61BD3" w:rsidRDefault="00D3792A" w:rsidP="00430B64">
      <w:pPr>
        <w:pStyle w:val="ListParagraph"/>
        <w:numPr>
          <w:ilvl w:val="0"/>
          <w:numId w:val="7"/>
        </w:numPr>
        <w:shd w:val="clear" w:color="auto" w:fill="FFFFFF" w:themeFill="background1"/>
        <w:tabs>
          <w:tab w:val="clear" w:pos="426"/>
        </w:tabs>
        <w:spacing w:line="259" w:lineRule="auto"/>
        <w:ind w:left="425" w:hanging="425"/>
        <w:jc w:val="both"/>
        <w:rPr>
          <w:rFonts w:cs="Arial"/>
          <w:color w:val="C0504D" w:themeColor="accent2"/>
        </w:rPr>
      </w:pPr>
      <w:r w:rsidRPr="31619BB5">
        <w:rPr>
          <w:rFonts w:cs="Arial"/>
        </w:rPr>
        <w:t xml:space="preserve">A full risk register is shown at </w:t>
      </w:r>
      <w:r w:rsidR="00EF7D46">
        <w:rPr>
          <w:rFonts w:cs="Arial"/>
        </w:rPr>
        <w:t>A</w:t>
      </w:r>
      <w:r w:rsidRPr="31619BB5">
        <w:rPr>
          <w:rFonts w:cs="Arial"/>
        </w:rPr>
        <w:t>ppen</w:t>
      </w:r>
      <w:r w:rsidRPr="00584E88">
        <w:rPr>
          <w:rFonts w:cs="Arial"/>
          <w:color w:val="000000" w:themeColor="text1"/>
        </w:rPr>
        <w:t xml:space="preserve">dix 9. </w:t>
      </w:r>
      <w:r w:rsidRPr="31619BB5">
        <w:rPr>
          <w:rFonts w:cs="Arial"/>
        </w:rPr>
        <w:t xml:space="preserve">The key immediate risks are ensuring that service standards do not reduce while we transition from Fusion to </w:t>
      </w:r>
      <w:r>
        <w:rPr>
          <w:rFonts w:cs="Arial"/>
        </w:rPr>
        <w:t>Serco Leisure</w:t>
      </w:r>
      <w:r w:rsidRPr="31619BB5">
        <w:rPr>
          <w:rFonts w:cs="Arial"/>
        </w:rPr>
        <w:t xml:space="preserve"> and longer term that the new contract delivers its promise. </w:t>
      </w:r>
      <w:r>
        <w:rPr>
          <w:rFonts w:cs="Arial"/>
        </w:rPr>
        <w:t xml:space="preserve">Paragraphs 44 to 46 </w:t>
      </w:r>
      <w:r w:rsidRPr="31619BB5">
        <w:rPr>
          <w:rFonts w:cs="Arial"/>
        </w:rPr>
        <w:t xml:space="preserve">of this report </w:t>
      </w:r>
      <w:r>
        <w:rPr>
          <w:rFonts w:cs="Arial"/>
        </w:rPr>
        <w:t>explains the position in relation to mobilisation and</w:t>
      </w:r>
      <w:r w:rsidRPr="31619BB5">
        <w:rPr>
          <w:rFonts w:cs="Arial"/>
        </w:rPr>
        <w:t xml:space="preserve"> transition, and </w:t>
      </w:r>
      <w:r>
        <w:rPr>
          <w:rFonts w:cs="Arial"/>
        </w:rPr>
        <w:t>the</w:t>
      </w:r>
      <w:r w:rsidRPr="31619BB5">
        <w:rPr>
          <w:rFonts w:cs="Arial"/>
        </w:rPr>
        <w:t xml:space="preserve"> measures </w:t>
      </w:r>
      <w:r>
        <w:rPr>
          <w:rFonts w:cs="Arial"/>
        </w:rPr>
        <w:t xml:space="preserve">proposed </w:t>
      </w:r>
      <w:r w:rsidRPr="31619BB5">
        <w:rPr>
          <w:rFonts w:cs="Arial"/>
        </w:rPr>
        <w:t>to</w:t>
      </w:r>
      <w:r>
        <w:rPr>
          <w:rFonts w:cs="Arial"/>
        </w:rPr>
        <w:t xml:space="preserve"> en</w:t>
      </w:r>
      <w:r w:rsidRPr="31619BB5">
        <w:rPr>
          <w:rFonts w:cs="Arial"/>
        </w:rPr>
        <w:t>sure the contract delivers the targeted outcomes.</w:t>
      </w:r>
      <w:r>
        <w:rPr>
          <w:rFonts w:cs="Arial"/>
        </w:rPr>
        <w:t xml:space="preserve">   </w:t>
      </w:r>
    </w:p>
    <w:p w14:paraId="1A15635B" w14:textId="77777777" w:rsidR="002329CF" w:rsidRPr="001356F1" w:rsidRDefault="002329CF" w:rsidP="0050321C">
      <w:pPr>
        <w:pStyle w:val="Heading1"/>
      </w:pPr>
      <w:r w:rsidRPr="001356F1">
        <w:t xml:space="preserve">Equalities impact </w:t>
      </w:r>
    </w:p>
    <w:p w14:paraId="7AD478C4" w14:textId="2A255104" w:rsidR="00274AFB" w:rsidRPr="00A96DAC" w:rsidRDefault="00274AFB" w:rsidP="00430B64">
      <w:pPr>
        <w:pStyle w:val="ListParagraph"/>
        <w:numPr>
          <w:ilvl w:val="0"/>
          <w:numId w:val="7"/>
        </w:numPr>
        <w:shd w:val="clear" w:color="auto" w:fill="FFFFFF" w:themeFill="background1"/>
        <w:tabs>
          <w:tab w:val="clear" w:pos="426"/>
        </w:tabs>
        <w:spacing w:after="0" w:line="259" w:lineRule="auto"/>
        <w:ind w:left="425" w:hanging="425"/>
        <w:jc w:val="both"/>
        <w:rPr>
          <w:rFonts w:cs="Arial"/>
          <w:color w:val="C0504D" w:themeColor="accent2"/>
        </w:rPr>
      </w:pPr>
      <w:r w:rsidRPr="31619BB5">
        <w:rPr>
          <w:rFonts w:cs="Arial"/>
        </w:rPr>
        <w:t xml:space="preserve">The equalities impact has been considered all the way through the process; a full review can be seen as </w:t>
      </w:r>
      <w:r w:rsidR="00EF7D46">
        <w:rPr>
          <w:rFonts w:cs="Arial"/>
        </w:rPr>
        <w:t>A</w:t>
      </w:r>
      <w:r w:rsidRPr="31619BB5">
        <w:rPr>
          <w:rFonts w:cs="Arial"/>
        </w:rPr>
        <w:t>ppendix</w:t>
      </w:r>
      <w:r>
        <w:rPr>
          <w:rFonts w:cs="Arial"/>
        </w:rPr>
        <w:t xml:space="preserve"> 8</w:t>
      </w:r>
      <w:r w:rsidRPr="31619BB5">
        <w:rPr>
          <w:rFonts w:cs="Arial"/>
        </w:rPr>
        <w:t>.</w:t>
      </w:r>
      <w:r>
        <w:rPr>
          <w:rFonts w:cs="Arial"/>
        </w:rPr>
        <w:t xml:space="preserve"> </w:t>
      </w:r>
      <w:r w:rsidRPr="70D451B4">
        <w:rPr>
          <w:rFonts w:cs="Arial"/>
        </w:rPr>
        <w:t xml:space="preserve">The assessment </w:t>
      </w:r>
      <w:r w:rsidRPr="51F1CC08">
        <w:rPr>
          <w:rFonts w:cs="Arial"/>
        </w:rPr>
        <w:t>demonstrates how a range of data sources</w:t>
      </w:r>
      <w:r w:rsidRPr="4ABBC513">
        <w:rPr>
          <w:rFonts w:cs="Arial"/>
        </w:rPr>
        <w:t xml:space="preserve"> </w:t>
      </w:r>
      <w:r w:rsidRPr="15A1550B">
        <w:rPr>
          <w:rFonts w:cs="Arial"/>
        </w:rPr>
        <w:t xml:space="preserve">have been uses to </w:t>
      </w:r>
      <w:r w:rsidRPr="40C140BD">
        <w:rPr>
          <w:rFonts w:cs="Arial"/>
        </w:rPr>
        <w:t xml:space="preserve">ensure </w:t>
      </w:r>
      <w:r w:rsidRPr="1D4A7F61">
        <w:rPr>
          <w:rFonts w:cs="Arial"/>
        </w:rPr>
        <w:t xml:space="preserve">people with </w:t>
      </w:r>
      <w:r w:rsidRPr="7484D753">
        <w:rPr>
          <w:rFonts w:cs="Arial"/>
        </w:rPr>
        <w:t xml:space="preserve">protected </w:t>
      </w:r>
      <w:r w:rsidRPr="131ADE2D">
        <w:rPr>
          <w:rFonts w:cs="Arial"/>
        </w:rPr>
        <w:t>characteristics</w:t>
      </w:r>
      <w:r w:rsidRPr="26BA7E61">
        <w:rPr>
          <w:rFonts w:cs="Arial"/>
        </w:rPr>
        <w:t xml:space="preserve"> have been </w:t>
      </w:r>
      <w:r w:rsidRPr="3787C05C">
        <w:rPr>
          <w:rFonts w:cs="Arial"/>
        </w:rPr>
        <w:t>considered throughout</w:t>
      </w:r>
      <w:r w:rsidRPr="6899B19C">
        <w:rPr>
          <w:rFonts w:cs="Arial"/>
        </w:rPr>
        <w:t xml:space="preserve"> this </w:t>
      </w:r>
      <w:r w:rsidRPr="2EF1F650">
        <w:rPr>
          <w:rFonts w:cs="Arial"/>
        </w:rPr>
        <w:t xml:space="preserve">work with </w:t>
      </w:r>
      <w:r w:rsidRPr="4A1C6E79">
        <w:rPr>
          <w:rFonts w:cs="Arial"/>
        </w:rPr>
        <w:t>targeted</w:t>
      </w:r>
      <w:r w:rsidRPr="4425DF01">
        <w:rPr>
          <w:rFonts w:cs="Arial"/>
        </w:rPr>
        <w:t xml:space="preserve"> sessions for </w:t>
      </w:r>
      <w:r w:rsidRPr="6E9D8A74">
        <w:rPr>
          <w:rFonts w:cs="Arial"/>
        </w:rPr>
        <w:t>underrepresented</w:t>
      </w:r>
      <w:r w:rsidRPr="701B9FEC">
        <w:rPr>
          <w:rFonts w:cs="Arial"/>
        </w:rPr>
        <w:t xml:space="preserve"> groups and a new </w:t>
      </w:r>
      <w:r w:rsidRPr="640BCEE0">
        <w:rPr>
          <w:rFonts w:cs="Arial"/>
        </w:rPr>
        <w:t>inclusive</w:t>
      </w:r>
      <w:r w:rsidRPr="49FEB390">
        <w:rPr>
          <w:rFonts w:cs="Arial"/>
        </w:rPr>
        <w:t xml:space="preserve"> access fund </w:t>
      </w:r>
      <w:r w:rsidRPr="5A4FE885">
        <w:rPr>
          <w:rFonts w:cs="Arial"/>
        </w:rPr>
        <w:t xml:space="preserve">created. </w:t>
      </w:r>
      <w:r>
        <w:rPr>
          <w:rFonts w:cs="Arial"/>
        </w:rPr>
        <w:t xml:space="preserve"> </w:t>
      </w:r>
    </w:p>
    <w:p w14:paraId="1A156364" w14:textId="77777777" w:rsidR="002329CF"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1A156367"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1A156365"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1A156366" w14:textId="2164A720" w:rsidR="00E87F7A" w:rsidRPr="001356F1" w:rsidRDefault="002156A5" w:rsidP="00A46E98">
            <w:r>
              <w:t>Ian Brooke</w:t>
            </w:r>
          </w:p>
        </w:tc>
      </w:tr>
      <w:tr w:rsidR="00DF093E" w:rsidRPr="001356F1" w14:paraId="1A15636A"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1A156368"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1A156369" w14:textId="58AE71C6" w:rsidR="00E87F7A" w:rsidRPr="001356F1" w:rsidRDefault="002156A5" w:rsidP="00A46E98">
            <w:r>
              <w:t>Head of Community Services</w:t>
            </w:r>
          </w:p>
        </w:tc>
      </w:tr>
      <w:tr w:rsidR="00DF093E" w:rsidRPr="001356F1" w14:paraId="1A15636D" w14:textId="77777777" w:rsidTr="00A46E98">
        <w:trPr>
          <w:cantSplit/>
          <w:trHeight w:val="396"/>
        </w:trPr>
        <w:tc>
          <w:tcPr>
            <w:tcW w:w="3969" w:type="dxa"/>
            <w:tcBorders>
              <w:top w:val="nil"/>
              <w:left w:val="single" w:sz="8" w:space="0" w:color="000000"/>
              <w:bottom w:val="nil"/>
              <w:right w:val="nil"/>
            </w:tcBorders>
            <w:shd w:val="clear" w:color="auto" w:fill="auto"/>
          </w:tcPr>
          <w:p w14:paraId="1A15636B"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1A15636C" w14:textId="4FE3CF80" w:rsidR="00E87F7A" w:rsidRPr="001356F1" w:rsidRDefault="002156A5" w:rsidP="00A46E98">
            <w:r>
              <w:t>Community Services</w:t>
            </w:r>
          </w:p>
        </w:tc>
      </w:tr>
      <w:tr w:rsidR="00DF093E" w:rsidRPr="001356F1" w14:paraId="1A156370" w14:textId="77777777" w:rsidTr="00A46E98">
        <w:trPr>
          <w:cantSplit/>
          <w:trHeight w:val="396"/>
        </w:trPr>
        <w:tc>
          <w:tcPr>
            <w:tcW w:w="3969" w:type="dxa"/>
            <w:tcBorders>
              <w:top w:val="nil"/>
              <w:left w:val="single" w:sz="8" w:space="0" w:color="000000"/>
              <w:bottom w:val="nil"/>
              <w:right w:val="nil"/>
            </w:tcBorders>
            <w:shd w:val="clear" w:color="auto" w:fill="auto"/>
          </w:tcPr>
          <w:p w14:paraId="1A15636E"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1A15636F" w14:textId="26DE56BA" w:rsidR="00E87F7A" w:rsidRPr="001356F1" w:rsidRDefault="00E87F7A" w:rsidP="00A46E98">
            <w:r w:rsidRPr="001356F1">
              <w:t xml:space="preserve">01865 </w:t>
            </w:r>
            <w:r w:rsidR="00670D6F">
              <w:t>252705</w:t>
            </w:r>
            <w:r w:rsidRPr="001356F1">
              <w:t xml:space="preserve"> </w:t>
            </w:r>
          </w:p>
        </w:tc>
      </w:tr>
      <w:tr w:rsidR="005570B5" w:rsidRPr="001356F1" w14:paraId="1A156373"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1A156371"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1A156372" w14:textId="2461E68A" w:rsidR="00E87F7A" w:rsidRPr="001356F1" w:rsidRDefault="002156A5" w:rsidP="00A46E98">
            <w:pPr>
              <w:rPr>
                <w:rStyle w:val="Hyperlink"/>
                <w:color w:val="000000"/>
              </w:rPr>
            </w:pPr>
            <w:hyperlink r:id="rId12" w:history="1">
              <w:r w:rsidRPr="00B83D92">
                <w:rPr>
                  <w:rStyle w:val="Hyperlink"/>
                </w:rPr>
                <w:t>ibrooke@oxford.gov.uk</w:t>
              </w:r>
            </w:hyperlink>
            <w:r>
              <w:rPr>
                <w:rStyle w:val="Hyperlink"/>
                <w:color w:val="000000"/>
              </w:rPr>
              <w:t xml:space="preserve"> </w:t>
            </w:r>
          </w:p>
        </w:tc>
      </w:tr>
    </w:tbl>
    <w:p w14:paraId="1A156374"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1A156376"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1A156375"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1A156383" w14:textId="77777777" w:rsidR="00CE4C87" w:rsidRDefault="00CE4C87" w:rsidP="0093067A"/>
    <w:p w14:paraId="1A156399" w14:textId="77777777" w:rsidR="004456DD" w:rsidRPr="009E51FC" w:rsidRDefault="004456DD" w:rsidP="0093067A"/>
    <w:sectPr w:rsidR="004456DD" w:rsidRPr="009E51FC" w:rsidSect="002B6836">
      <w:footerReference w:type="even" r:id="rId13"/>
      <w:headerReference w:type="first" r:id="rId14"/>
      <w:footerReference w:type="first" r:id="rId15"/>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563A0" w14:textId="77777777" w:rsidR="00FB3B71" w:rsidRDefault="00FB3B71" w:rsidP="004A6D2F">
      <w:r>
        <w:separator/>
      </w:r>
    </w:p>
  </w:endnote>
  <w:endnote w:type="continuationSeparator" w:id="0">
    <w:p w14:paraId="1A1563A1" w14:textId="77777777" w:rsidR="00FB3B71" w:rsidRDefault="00FB3B7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63A2" w14:textId="77777777" w:rsidR="00364FAD" w:rsidRDefault="00364FAD" w:rsidP="004A6D2F">
    <w:pPr>
      <w:pStyle w:val="Footer"/>
    </w:pPr>
    <w:r>
      <w:t>Do not use a footer or page numbers.</w:t>
    </w:r>
  </w:p>
  <w:p w14:paraId="1A1563A3" w14:textId="77777777" w:rsidR="00364FAD" w:rsidRDefault="00364FAD" w:rsidP="004A6D2F">
    <w:pPr>
      <w:pStyle w:val="Footer"/>
    </w:pPr>
  </w:p>
  <w:p w14:paraId="1A1563A4"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63A6" w14:textId="77777777" w:rsidR="004B11AE" w:rsidRDefault="004B11AE" w:rsidP="004B11AE">
    <w:pPr>
      <w:pStyle w:val="Footer"/>
      <w:rPr>
        <w:sz w:val="16"/>
        <w:szCs w:val="16"/>
      </w:rPr>
    </w:pPr>
    <w:r>
      <w:rPr>
        <w:sz w:val="16"/>
        <w:szCs w:val="16"/>
      </w:rPr>
      <w:t>18 October 2019</w:t>
    </w:r>
  </w:p>
  <w:p w14:paraId="1A1563A7"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5639E" w14:textId="77777777" w:rsidR="00FB3B71" w:rsidRDefault="00FB3B71" w:rsidP="004A6D2F">
      <w:r>
        <w:separator/>
      </w:r>
    </w:p>
  </w:footnote>
  <w:footnote w:type="continuationSeparator" w:id="0">
    <w:p w14:paraId="1A15639F" w14:textId="77777777" w:rsidR="00FB3B71" w:rsidRDefault="00FB3B71"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63A5" w14:textId="77777777" w:rsidR="00D5547E" w:rsidRDefault="00C05260" w:rsidP="00D5547E">
    <w:pPr>
      <w:pStyle w:val="Header"/>
      <w:jc w:val="right"/>
    </w:pPr>
    <w:r>
      <w:rPr>
        <w:noProof/>
      </w:rPr>
      <w:drawing>
        <wp:inline distT="0" distB="0" distL="0" distR="0" wp14:anchorId="1A1563A8" wp14:editId="1A1563A9">
          <wp:extent cx="838200" cy="1119505"/>
          <wp:effectExtent l="0" t="0" r="0" b="4445"/>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95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2D3D3E"/>
    <w:multiLevelType w:val="hybridMultilevel"/>
    <w:tmpl w:val="6B9848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7EA7A70"/>
    <w:multiLevelType w:val="hybridMultilevel"/>
    <w:tmpl w:val="995866EC"/>
    <w:lvl w:ilvl="0" w:tplc="6CE2793C">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FE4F25"/>
    <w:multiLevelType w:val="hybridMultilevel"/>
    <w:tmpl w:val="874604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2A408D7"/>
    <w:multiLevelType w:val="hybridMultilevel"/>
    <w:tmpl w:val="86F4DD82"/>
    <w:lvl w:ilvl="0" w:tplc="65107278">
      <w:start w:val="1"/>
      <w:numFmt w:val="lowerRoman"/>
      <w:lvlText w:val="%1)"/>
      <w:lvlJc w:val="right"/>
      <w:pPr>
        <w:ind w:left="790" w:hanging="360"/>
      </w:pPr>
      <w:rPr>
        <w:rFonts w:ascii="Arial" w:eastAsia="Times New Roman" w:hAnsi="Arial" w:cs="Arial"/>
        <w:b w:val="0"/>
        <w:bCs w:val="0"/>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7"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D64743F"/>
    <w:multiLevelType w:val="hybridMultilevel"/>
    <w:tmpl w:val="B11A9F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76660F2"/>
    <w:multiLevelType w:val="hybridMultilevel"/>
    <w:tmpl w:val="C6009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7DB5153"/>
    <w:multiLevelType w:val="hybridMultilevel"/>
    <w:tmpl w:val="C1A68C1C"/>
    <w:lvl w:ilvl="0" w:tplc="0809000F">
      <w:start w:val="1"/>
      <w:numFmt w:val="decimal"/>
      <w:lvlText w:val="%1."/>
      <w:lvlJc w:val="left"/>
      <w:pPr>
        <w:ind w:left="360" w:hanging="360"/>
      </w:pPr>
      <w:rPr>
        <w:rFonts w:hint="default"/>
        <w:b w:val="0"/>
        <w:color w:val="auto"/>
        <w:sz w:val="24"/>
        <w:szCs w:val="24"/>
      </w:rPr>
    </w:lvl>
    <w:lvl w:ilvl="1" w:tplc="517A4214">
      <w:start w:val="1"/>
      <w:numFmt w:val="lowerRoman"/>
      <w:lvlText w:val="%2)"/>
      <w:lvlJc w:val="left"/>
      <w:pPr>
        <w:ind w:left="1080" w:hanging="360"/>
      </w:pPr>
      <w:rPr>
        <w:rFonts w:ascii="Arial" w:eastAsia="Times New Roman" w:hAnsi="Arial" w:cs="Arial"/>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98365C6"/>
    <w:multiLevelType w:val="multilevel"/>
    <w:tmpl w:val="E67CE66C"/>
    <w:numStyleLink w:val="StyleNumberedLeft0cmHanging075cm"/>
  </w:abstractNum>
  <w:abstractNum w:abstractNumId="12" w15:restartNumberingAfterBreak="0">
    <w:nsid w:val="7D0626BD"/>
    <w:multiLevelType w:val="hybridMultilevel"/>
    <w:tmpl w:val="9384A3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51518794">
    <w:abstractNumId w:val="0"/>
  </w:num>
  <w:num w:numId="2" w16cid:durableId="1897666816">
    <w:abstractNumId w:val="11"/>
  </w:num>
  <w:num w:numId="3" w16cid:durableId="267153638">
    <w:abstractNumId w:val="3"/>
  </w:num>
  <w:num w:numId="4" w16cid:durableId="1645817046">
    <w:abstractNumId w:val="1"/>
  </w:num>
  <w:num w:numId="5" w16cid:durableId="468325896">
    <w:abstractNumId w:val="7"/>
  </w:num>
  <w:num w:numId="6" w16cid:durableId="393625756">
    <w:abstractNumId w:val="6"/>
  </w:num>
  <w:num w:numId="7" w16cid:durableId="1493990362">
    <w:abstractNumId w:val="10"/>
  </w:num>
  <w:num w:numId="8" w16cid:durableId="2133092270">
    <w:abstractNumId w:val="5"/>
  </w:num>
  <w:num w:numId="9" w16cid:durableId="1128013139">
    <w:abstractNumId w:val="4"/>
  </w:num>
  <w:num w:numId="10" w16cid:durableId="1287812380">
    <w:abstractNumId w:val="12"/>
  </w:num>
  <w:num w:numId="11" w16cid:durableId="612979716">
    <w:abstractNumId w:val="8"/>
  </w:num>
  <w:num w:numId="12" w16cid:durableId="1465007037">
    <w:abstractNumId w:val="2"/>
  </w:num>
  <w:num w:numId="13" w16cid:durableId="143910800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B71"/>
    <w:rsid w:val="000117D4"/>
    <w:rsid w:val="0002366D"/>
    <w:rsid w:val="000314D7"/>
    <w:rsid w:val="00034054"/>
    <w:rsid w:val="0003698B"/>
    <w:rsid w:val="00045F8B"/>
    <w:rsid w:val="00046D2B"/>
    <w:rsid w:val="00056263"/>
    <w:rsid w:val="00057D74"/>
    <w:rsid w:val="00064D8A"/>
    <w:rsid w:val="00064F82"/>
    <w:rsid w:val="000657DA"/>
    <w:rsid w:val="000661A0"/>
    <w:rsid w:val="00066510"/>
    <w:rsid w:val="00077523"/>
    <w:rsid w:val="00081377"/>
    <w:rsid w:val="00093263"/>
    <w:rsid w:val="000A39C9"/>
    <w:rsid w:val="000A5413"/>
    <w:rsid w:val="000B10B8"/>
    <w:rsid w:val="000B1DFC"/>
    <w:rsid w:val="000C089F"/>
    <w:rsid w:val="000C3928"/>
    <w:rsid w:val="000C3E5D"/>
    <w:rsid w:val="000C5E8E"/>
    <w:rsid w:val="000F06E7"/>
    <w:rsid w:val="000F142B"/>
    <w:rsid w:val="000F4751"/>
    <w:rsid w:val="0010524C"/>
    <w:rsid w:val="0010528F"/>
    <w:rsid w:val="00105DCD"/>
    <w:rsid w:val="00110E58"/>
    <w:rsid w:val="00111FB1"/>
    <w:rsid w:val="00113418"/>
    <w:rsid w:val="001145CA"/>
    <w:rsid w:val="001356F1"/>
    <w:rsid w:val="00136994"/>
    <w:rsid w:val="0014128E"/>
    <w:rsid w:val="001514EA"/>
    <w:rsid w:val="00151888"/>
    <w:rsid w:val="00170A2D"/>
    <w:rsid w:val="00171553"/>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156A5"/>
    <w:rsid w:val="002329CF"/>
    <w:rsid w:val="00232F5B"/>
    <w:rsid w:val="00242B8C"/>
    <w:rsid w:val="00247C29"/>
    <w:rsid w:val="002536B0"/>
    <w:rsid w:val="0026044A"/>
    <w:rsid w:val="00260467"/>
    <w:rsid w:val="00260D9A"/>
    <w:rsid w:val="00263EA3"/>
    <w:rsid w:val="00266446"/>
    <w:rsid w:val="00274AFB"/>
    <w:rsid w:val="0028299F"/>
    <w:rsid w:val="00284F85"/>
    <w:rsid w:val="002870C3"/>
    <w:rsid w:val="00290915"/>
    <w:rsid w:val="002A22E2"/>
    <w:rsid w:val="002A4437"/>
    <w:rsid w:val="002B6836"/>
    <w:rsid w:val="002C64F7"/>
    <w:rsid w:val="002D0BFF"/>
    <w:rsid w:val="002D5621"/>
    <w:rsid w:val="002D5B33"/>
    <w:rsid w:val="002F41F2"/>
    <w:rsid w:val="00301BF3"/>
    <w:rsid w:val="0030208D"/>
    <w:rsid w:val="00321610"/>
    <w:rsid w:val="00323418"/>
    <w:rsid w:val="003357BF"/>
    <w:rsid w:val="00364FAD"/>
    <w:rsid w:val="003661FD"/>
    <w:rsid w:val="0036738F"/>
    <w:rsid w:val="0036759C"/>
    <w:rsid w:val="00367AE5"/>
    <w:rsid w:val="00367D71"/>
    <w:rsid w:val="0038150A"/>
    <w:rsid w:val="0038762A"/>
    <w:rsid w:val="003A233A"/>
    <w:rsid w:val="003A412D"/>
    <w:rsid w:val="003B6E75"/>
    <w:rsid w:val="003B7DA1"/>
    <w:rsid w:val="003C0F20"/>
    <w:rsid w:val="003D0379"/>
    <w:rsid w:val="003D2574"/>
    <w:rsid w:val="003D4C59"/>
    <w:rsid w:val="003F4267"/>
    <w:rsid w:val="00404032"/>
    <w:rsid w:val="0040736F"/>
    <w:rsid w:val="00410B5A"/>
    <w:rsid w:val="00412C1F"/>
    <w:rsid w:val="00414566"/>
    <w:rsid w:val="0041544C"/>
    <w:rsid w:val="00417566"/>
    <w:rsid w:val="004214F2"/>
    <w:rsid w:val="00421CB2"/>
    <w:rsid w:val="004268B9"/>
    <w:rsid w:val="00430B0A"/>
    <w:rsid w:val="00430B64"/>
    <w:rsid w:val="00431863"/>
    <w:rsid w:val="00433B96"/>
    <w:rsid w:val="004440F1"/>
    <w:rsid w:val="004456DD"/>
    <w:rsid w:val="00446CDF"/>
    <w:rsid w:val="0044717A"/>
    <w:rsid w:val="004521B7"/>
    <w:rsid w:val="004548E0"/>
    <w:rsid w:val="00456E75"/>
    <w:rsid w:val="00460823"/>
    <w:rsid w:val="00462AB5"/>
    <w:rsid w:val="00465EAF"/>
    <w:rsid w:val="004738C5"/>
    <w:rsid w:val="0047737B"/>
    <w:rsid w:val="004904F1"/>
    <w:rsid w:val="00491046"/>
    <w:rsid w:val="00496078"/>
    <w:rsid w:val="004A2AC7"/>
    <w:rsid w:val="004A6D2F"/>
    <w:rsid w:val="004B11AE"/>
    <w:rsid w:val="004C2887"/>
    <w:rsid w:val="004D2611"/>
    <w:rsid w:val="004D2626"/>
    <w:rsid w:val="004D6E26"/>
    <w:rsid w:val="004D77D3"/>
    <w:rsid w:val="004E2959"/>
    <w:rsid w:val="004F06D3"/>
    <w:rsid w:val="004F20EF"/>
    <w:rsid w:val="0050321C"/>
    <w:rsid w:val="00507ECC"/>
    <w:rsid w:val="00515CA3"/>
    <w:rsid w:val="00533056"/>
    <w:rsid w:val="00545059"/>
    <w:rsid w:val="0054712D"/>
    <w:rsid w:val="00547EF6"/>
    <w:rsid w:val="005570B5"/>
    <w:rsid w:val="0055719E"/>
    <w:rsid w:val="00557C1D"/>
    <w:rsid w:val="00567E18"/>
    <w:rsid w:val="00575F5F"/>
    <w:rsid w:val="00581805"/>
    <w:rsid w:val="00585F76"/>
    <w:rsid w:val="00590AF5"/>
    <w:rsid w:val="00596689"/>
    <w:rsid w:val="005A0C1A"/>
    <w:rsid w:val="005A34E4"/>
    <w:rsid w:val="005A6610"/>
    <w:rsid w:val="005B17F2"/>
    <w:rsid w:val="005B77FB"/>
    <w:rsid w:val="005B7FB0"/>
    <w:rsid w:val="005C35A5"/>
    <w:rsid w:val="005C577C"/>
    <w:rsid w:val="005D0621"/>
    <w:rsid w:val="005D1E27"/>
    <w:rsid w:val="005D2A3E"/>
    <w:rsid w:val="005E022E"/>
    <w:rsid w:val="005E5215"/>
    <w:rsid w:val="005F7F7E"/>
    <w:rsid w:val="00603D0C"/>
    <w:rsid w:val="00614693"/>
    <w:rsid w:val="00623AA9"/>
    <w:rsid w:val="00623C2F"/>
    <w:rsid w:val="00626EBD"/>
    <w:rsid w:val="00627FE3"/>
    <w:rsid w:val="00633578"/>
    <w:rsid w:val="00637068"/>
    <w:rsid w:val="00650811"/>
    <w:rsid w:val="00661D3E"/>
    <w:rsid w:val="00663242"/>
    <w:rsid w:val="00666377"/>
    <w:rsid w:val="00670D6F"/>
    <w:rsid w:val="00692627"/>
    <w:rsid w:val="006969E7"/>
    <w:rsid w:val="006A3643"/>
    <w:rsid w:val="006B10C2"/>
    <w:rsid w:val="006B63A7"/>
    <w:rsid w:val="006C2A29"/>
    <w:rsid w:val="006C347A"/>
    <w:rsid w:val="006C64CF"/>
    <w:rsid w:val="006D17B1"/>
    <w:rsid w:val="006D4752"/>
    <w:rsid w:val="006D5236"/>
    <w:rsid w:val="006D708A"/>
    <w:rsid w:val="006E14C1"/>
    <w:rsid w:val="006F0292"/>
    <w:rsid w:val="006F27FA"/>
    <w:rsid w:val="006F416B"/>
    <w:rsid w:val="006F519B"/>
    <w:rsid w:val="00702DE2"/>
    <w:rsid w:val="00713675"/>
    <w:rsid w:val="00715823"/>
    <w:rsid w:val="007253EF"/>
    <w:rsid w:val="007330D6"/>
    <w:rsid w:val="00737B93"/>
    <w:rsid w:val="00742DE1"/>
    <w:rsid w:val="00745BF0"/>
    <w:rsid w:val="00751EA3"/>
    <w:rsid w:val="00752634"/>
    <w:rsid w:val="00757773"/>
    <w:rsid w:val="00757E7B"/>
    <w:rsid w:val="007615FE"/>
    <w:rsid w:val="0076655C"/>
    <w:rsid w:val="007742DC"/>
    <w:rsid w:val="00782842"/>
    <w:rsid w:val="00791437"/>
    <w:rsid w:val="00791E27"/>
    <w:rsid w:val="007A09AD"/>
    <w:rsid w:val="007B0C2C"/>
    <w:rsid w:val="007B278E"/>
    <w:rsid w:val="007B5CA2"/>
    <w:rsid w:val="007C5C23"/>
    <w:rsid w:val="007E2A26"/>
    <w:rsid w:val="007F2348"/>
    <w:rsid w:val="007F4757"/>
    <w:rsid w:val="00803F07"/>
    <w:rsid w:val="00804741"/>
    <w:rsid w:val="0080749A"/>
    <w:rsid w:val="00821FB8"/>
    <w:rsid w:val="00822ACD"/>
    <w:rsid w:val="00855C66"/>
    <w:rsid w:val="00871EE4"/>
    <w:rsid w:val="00883F1A"/>
    <w:rsid w:val="00887168"/>
    <w:rsid w:val="00890F30"/>
    <w:rsid w:val="008954DF"/>
    <w:rsid w:val="008B0474"/>
    <w:rsid w:val="008B293F"/>
    <w:rsid w:val="008B7371"/>
    <w:rsid w:val="008C7A67"/>
    <w:rsid w:val="008D3DDB"/>
    <w:rsid w:val="008D572C"/>
    <w:rsid w:val="008F3B04"/>
    <w:rsid w:val="008F573F"/>
    <w:rsid w:val="009034EC"/>
    <w:rsid w:val="00904EF1"/>
    <w:rsid w:val="0093067A"/>
    <w:rsid w:val="00941C60"/>
    <w:rsid w:val="00941FD1"/>
    <w:rsid w:val="00950824"/>
    <w:rsid w:val="00952516"/>
    <w:rsid w:val="00966D42"/>
    <w:rsid w:val="00971689"/>
    <w:rsid w:val="0097170F"/>
    <w:rsid w:val="00973E90"/>
    <w:rsid w:val="00975B07"/>
    <w:rsid w:val="00980B4A"/>
    <w:rsid w:val="009847B5"/>
    <w:rsid w:val="0099727A"/>
    <w:rsid w:val="009B3E8A"/>
    <w:rsid w:val="009D4C14"/>
    <w:rsid w:val="009E3D0A"/>
    <w:rsid w:val="009E51FC"/>
    <w:rsid w:val="009F06B2"/>
    <w:rsid w:val="009F1D28"/>
    <w:rsid w:val="009F7618"/>
    <w:rsid w:val="00A018DA"/>
    <w:rsid w:val="00A04D23"/>
    <w:rsid w:val="00A06766"/>
    <w:rsid w:val="00A13765"/>
    <w:rsid w:val="00A201BF"/>
    <w:rsid w:val="00A21B12"/>
    <w:rsid w:val="00A23F80"/>
    <w:rsid w:val="00A3517B"/>
    <w:rsid w:val="00A46E98"/>
    <w:rsid w:val="00A6352B"/>
    <w:rsid w:val="00A650D7"/>
    <w:rsid w:val="00A701B5"/>
    <w:rsid w:val="00A710EE"/>
    <w:rsid w:val="00A714BB"/>
    <w:rsid w:val="00A77147"/>
    <w:rsid w:val="00A92D8F"/>
    <w:rsid w:val="00A95379"/>
    <w:rsid w:val="00AB2988"/>
    <w:rsid w:val="00AB7999"/>
    <w:rsid w:val="00AD3292"/>
    <w:rsid w:val="00AE1684"/>
    <w:rsid w:val="00AE7AF0"/>
    <w:rsid w:val="00AF6464"/>
    <w:rsid w:val="00B01EF8"/>
    <w:rsid w:val="00B1281F"/>
    <w:rsid w:val="00B500CA"/>
    <w:rsid w:val="00B52E83"/>
    <w:rsid w:val="00B66AA2"/>
    <w:rsid w:val="00B7660D"/>
    <w:rsid w:val="00B86314"/>
    <w:rsid w:val="00BA1C2E"/>
    <w:rsid w:val="00BB5BE6"/>
    <w:rsid w:val="00BC1E76"/>
    <w:rsid w:val="00BC200B"/>
    <w:rsid w:val="00BC4756"/>
    <w:rsid w:val="00BC69A4"/>
    <w:rsid w:val="00BE0680"/>
    <w:rsid w:val="00BE305F"/>
    <w:rsid w:val="00BE7BA3"/>
    <w:rsid w:val="00BF5682"/>
    <w:rsid w:val="00BF7020"/>
    <w:rsid w:val="00BF7B09"/>
    <w:rsid w:val="00C05260"/>
    <w:rsid w:val="00C076B9"/>
    <w:rsid w:val="00C12302"/>
    <w:rsid w:val="00C20A95"/>
    <w:rsid w:val="00C2692F"/>
    <w:rsid w:val="00C3207C"/>
    <w:rsid w:val="00C34F98"/>
    <w:rsid w:val="00C400E1"/>
    <w:rsid w:val="00C41187"/>
    <w:rsid w:val="00C57BEC"/>
    <w:rsid w:val="00C60C10"/>
    <w:rsid w:val="00C63C31"/>
    <w:rsid w:val="00C757A0"/>
    <w:rsid w:val="00C760DE"/>
    <w:rsid w:val="00C82630"/>
    <w:rsid w:val="00C83BE0"/>
    <w:rsid w:val="00C85B4E"/>
    <w:rsid w:val="00C907F7"/>
    <w:rsid w:val="00C933C7"/>
    <w:rsid w:val="00CA2103"/>
    <w:rsid w:val="00CA7155"/>
    <w:rsid w:val="00CB0710"/>
    <w:rsid w:val="00CB21E8"/>
    <w:rsid w:val="00CB22C9"/>
    <w:rsid w:val="00CB6B99"/>
    <w:rsid w:val="00CB6F6F"/>
    <w:rsid w:val="00CC54F0"/>
    <w:rsid w:val="00CD425D"/>
    <w:rsid w:val="00CE2780"/>
    <w:rsid w:val="00CE4C87"/>
    <w:rsid w:val="00CE544A"/>
    <w:rsid w:val="00CE7C06"/>
    <w:rsid w:val="00D051C5"/>
    <w:rsid w:val="00D11E1C"/>
    <w:rsid w:val="00D15CBA"/>
    <w:rsid w:val="00D160B0"/>
    <w:rsid w:val="00D17F94"/>
    <w:rsid w:val="00D223FC"/>
    <w:rsid w:val="00D26D1E"/>
    <w:rsid w:val="00D3164D"/>
    <w:rsid w:val="00D33AFE"/>
    <w:rsid w:val="00D3792A"/>
    <w:rsid w:val="00D4137C"/>
    <w:rsid w:val="00D474CF"/>
    <w:rsid w:val="00D503E6"/>
    <w:rsid w:val="00D5547E"/>
    <w:rsid w:val="00D55BB8"/>
    <w:rsid w:val="00D57D59"/>
    <w:rsid w:val="00D67273"/>
    <w:rsid w:val="00D72F3A"/>
    <w:rsid w:val="00D73C92"/>
    <w:rsid w:val="00D75CE6"/>
    <w:rsid w:val="00D779E6"/>
    <w:rsid w:val="00D82583"/>
    <w:rsid w:val="00D860E2"/>
    <w:rsid w:val="00D869A1"/>
    <w:rsid w:val="00DA413F"/>
    <w:rsid w:val="00DA4584"/>
    <w:rsid w:val="00DA614B"/>
    <w:rsid w:val="00DB7AD7"/>
    <w:rsid w:val="00DC3060"/>
    <w:rsid w:val="00DD0ACD"/>
    <w:rsid w:val="00DD133F"/>
    <w:rsid w:val="00DD672F"/>
    <w:rsid w:val="00DE07FA"/>
    <w:rsid w:val="00DE0FB2"/>
    <w:rsid w:val="00DF093E"/>
    <w:rsid w:val="00E01F42"/>
    <w:rsid w:val="00E07C63"/>
    <w:rsid w:val="00E206D6"/>
    <w:rsid w:val="00E3366E"/>
    <w:rsid w:val="00E36EDD"/>
    <w:rsid w:val="00E52086"/>
    <w:rsid w:val="00E543A6"/>
    <w:rsid w:val="00E60479"/>
    <w:rsid w:val="00E61D73"/>
    <w:rsid w:val="00E641D4"/>
    <w:rsid w:val="00E7006C"/>
    <w:rsid w:val="00E73684"/>
    <w:rsid w:val="00E818D6"/>
    <w:rsid w:val="00E87F7A"/>
    <w:rsid w:val="00E94B3E"/>
    <w:rsid w:val="00E96BD7"/>
    <w:rsid w:val="00E9765B"/>
    <w:rsid w:val="00EA0DB1"/>
    <w:rsid w:val="00EA0EE9"/>
    <w:rsid w:val="00EC608E"/>
    <w:rsid w:val="00ED52CA"/>
    <w:rsid w:val="00ED5860"/>
    <w:rsid w:val="00ED630B"/>
    <w:rsid w:val="00EE35C9"/>
    <w:rsid w:val="00EE3EFF"/>
    <w:rsid w:val="00EF4CD2"/>
    <w:rsid w:val="00EF7D46"/>
    <w:rsid w:val="00F000CD"/>
    <w:rsid w:val="00F05ECA"/>
    <w:rsid w:val="00F07734"/>
    <w:rsid w:val="00F25A3F"/>
    <w:rsid w:val="00F26E21"/>
    <w:rsid w:val="00F3566E"/>
    <w:rsid w:val="00F375FB"/>
    <w:rsid w:val="00F41AC1"/>
    <w:rsid w:val="00F4367A"/>
    <w:rsid w:val="00F445B1"/>
    <w:rsid w:val="00F45CD4"/>
    <w:rsid w:val="00F642D1"/>
    <w:rsid w:val="00F66DCA"/>
    <w:rsid w:val="00F71803"/>
    <w:rsid w:val="00F74F53"/>
    <w:rsid w:val="00F7606D"/>
    <w:rsid w:val="00F81670"/>
    <w:rsid w:val="00F82024"/>
    <w:rsid w:val="00F865A3"/>
    <w:rsid w:val="00F901B5"/>
    <w:rsid w:val="00F95BC9"/>
    <w:rsid w:val="00FA54B7"/>
    <w:rsid w:val="00FA624C"/>
    <w:rsid w:val="00FB3B71"/>
    <w:rsid w:val="00FB4A5E"/>
    <w:rsid w:val="00FC2311"/>
    <w:rsid w:val="00FD0FAC"/>
    <w:rsid w:val="00FD1DFA"/>
    <w:rsid w:val="00FD4966"/>
    <w:rsid w:val="00FE0F13"/>
    <w:rsid w:val="00FE41A6"/>
    <w:rsid w:val="00FE57DC"/>
    <w:rsid w:val="00FF095A"/>
    <w:rsid w:val="00FF6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1562E5"/>
  <w15:docId w15:val="{5B2BA3E5-8E0C-4EC8-9220-F637E856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2B6836"/>
    <w:pPr>
      <w:spacing w:before="240"/>
      <w:outlineLvl w:val="0"/>
    </w:pPr>
    <w:rPr>
      <w:b/>
    </w:rPr>
  </w:style>
  <w:style w:type="paragraph" w:styleId="Heading2">
    <w:name w:val="heading 2"/>
    <w:aliases w:val="Sub-heading"/>
    <w:basedOn w:val="Normal"/>
    <w:next w:val="Normal"/>
    <w:qFormat/>
    <w:rsid w:val="00F26E21"/>
    <w:pPr>
      <w:spacing w:before="1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ooterChar">
    <w:name w:val="Footer Char"/>
    <w:aliases w:val="zzFooter Char"/>
    <w:link w:val="Footer"/>
    <w:uiPriority w:val="99"/>
    <w:rsid w:val="004B11AE"/>
    <w:rPr>
      <w:color w:val="000000"/>
      <w:sz w:val="18"/>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2B6836"/>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styleId="TableColumns1">
    <w:name w:val="Table Columns 1"/>
    <w:basedOn w:val="TableNormal"/>
    <w:rsid w:val="00507ECC"/>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507ECC"/>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507ECC"/>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507E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UnresolvedMention">
    <w:name w:val="Unresolved Mention"/>
    <w:basedOn w:val="DefaultParagraphFont"/>
    <w:uiPriority w:val="99"/>
    <w:semiHidden/>
    <w:unhideWhenUsed/>
    <w:rsid w:val="002156A5"/>
    <w:rPr>
      <w:color w:val="605E5C"/>
      <w:shd w:val="clear" w:color="auto" w:fill="E1DFDD"/>
    </w:rPr>
  </w:style>
  <w:style w:type="character" w:customStyle="1" w:styleId="cf01">
    <w:name w:val="cf01"/>
    <w:basedOn w:val="DefaultParagraphFont"/>
    <w:rsid w:val="00D82583"/>
    <w:rPr>
      <w:rFonts w:ascii="Segoe UI" w:hAnsi="Segoe UI" w:cs="Segoe UI" w:hint="default"/>
      <w:sz w:val="18"/>
      <w:szCs w:val="18"/>
    </w:rPr>
  </w:style>
  <w:style w:type="character" w:styleId="FollowedHyperlink">
    <w:name w:val="FollowedHyperlink"/>
    <w:basedOn w:val="DefaultParagraphFont"/>
    <w:semiHidden/>
    <w:unhideWhenUsed/>
    <w:rsid w:val="00B52E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5412936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brooke@oxford.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xford.gov.uk/downloads/download/1366/thriving_communities_strategy_2023-2027"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13" ma:contentTypeDescription="Create a new document." ma:contentTypeScope="" ma:versionID="3753deed2dcd7b610455b4fd9c0e3c90">
  <xsd:schema xmlns:xsd="http://www.w3.org/2001/XMLSchema" xmlns:xs="http://www.w3.org/2001/XMLSchema" xmlns:p="http://schemas.microsoft.com/office/2006/metadata/properties" xmlns:ns2="fdb8f1d2-729e-4e17-b922-d1876d49c6d9" xmlns:ns3="ca0c6f25-960b-4ad0-86ba-4742c0ecca1e" targetNamespace="http://schemas.microsoft.com/office/2006/metadata/properties" ma:root="true" ma:fieldsID="57be56f3673856d357bcc5d4eef83565" ns2:_="" ns3:_="">
    <xsd:import namespace="fdb8f1d2-729e-4e17-b922-d1876d49c6d9"/>
    <xsd:import namespace="ca0c6f25-960b-4ad0-86ba-4742c0ecca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0c6f25-960b-4ad0-86ba-4742c0ecca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8C17C4-9508-4854-AF87-074B9DFE8D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B986BD-9765-4EB7-ABAF-825C3F1A3E89}">
  <ds:schemaRefs>
    <ds:schemaRef ds:uri="http://schemas.openxmlformats.org/officeDocument/2006/bibliography"/>
  </ds:schemaRefs>
</ds:datastoreItem>
</file>

<file path=customXml/itemProps3.xml><?xml version="1.0" encoding="utf-8"?>
<ds:datastoreItem xmlns:ds="http://schemas.openxmlformats.org/officeDocument/2006/customXml" ds:itemID="{4E4CEBDF-3A1E-4D76-BCF4-6DD491479C9F}">
  <ds:schemaRefs>
    <ds:schemaRef ds:uri="http://schemas.microsoft.com/sharepoint/v3/contenttype/forms"/>
  </ds:schemaRefs>
</ds:datastoreItem>
</file>

<file path=customXml/itemProps4.xml><?xml version="1.0" encoding="utf-8"?>
<ds:datastoreItem xmlns:ds="http://schemas.openxmlformats.org/officeDocument/2006/customXml" ds:itemID="{BEC319D9-DDB5-4A95-A82A-978F0BFD0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ca0c6f25-960b-4ad0-86ba-4742c0ecc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5903</Words>
  <Characters>31953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OxCityCouncil Cabinet report</vt:lpstr>
    </vt:vector>
  </TitlesOfParts>
  <Company>Oxford City Council</Company>
  <LinksUpToDate>false</LinksUpToDate>
  <CharactersWithSpaces>37781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OxCityCouncil Cabinet report</dc:title>
  <dc:creator>jmitchell</dc:creator>
  <cp:keywords>OxCityCouncil Report</cp:keywords>
  <cp:lastModifiedBy>COURTNEY Alice</cp:lastModifiedBy>
  <cp:revision>164</cp:revision>
  <cp:lastPrinted>2015-07-03T13:50:00Z</cp:lastPrinted>
  <dcterms:created xsi:type="dcterms:W3CDTF">2021-11-04T16:16:00Z</dcterms:created>
  <dcterms:modified xsi:type="dcterms:W3CDTF">2024-01-08T16:14:00Z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